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Style w:val="6"/>
          <w:rFonts w:hint="eastAsia" w:ascii="仿宋" w:hAnsi="仿宋" w:eastAsia="仿宋" w:cs="仿宋"/>
          <w:b w:val="0"/>
          <w:bCs/>
          <w:color w:val="auto"/>
          <w:kern w:val="0"/>
          <w:sz w:val="36"/>
          <w:szCs w:val="36"/>
          <w:lang w:val="en-US" w:eastAsia="zh-CN" w:bidi="ar"/>
        </w:rPr>
      </w:pPr>
      <w:r>
        <w:rPr>
          <w:rStyle w:val="6"/>
          <w:rFonts w:hint="eastAsia" w:ascii="仿宋" w:hAnsi="仿宋" w:eastAsia="仿宋" w:cs="仿宋"/>
          <w:b w:val="0"/>
          <w:bCs/>
          <w:color w:val="auto"/>
          <w:kern w:val="0"/>
          <w:sz w:val="36"/>
          <w:szCs w:val="36"/>
          <w:lang w:val="en-US" w:eastAsia="zh-CN" w:bidi="ar"/>
        </w:rPr>
        <w:t>附件：</w:t>
      </w:r>
    </w:p>
    <w:p>
      <w:pPr>
        <w:keepNext w:val="0"/>
        <w:keepLines w:val="0"/>
        <w:widowControl/>
        <w:suppressLineNumbers w:val="0"/>
        <w:ind w:firstLine="1084" w:firstLineChars="300"/>
        <w:jc w:val="both"/>
        <w:rPr>
          <w:rStyle w:val="6"/>
          <w:rFonts w:hint="eastAsia" w:ascii="新宋体" w:hAnsi="新宋体" w:eastAsia="新宋体" w:cs="新宋体"/>
          <w:b/>
          <w:bCs w:val="0"/>
          <w:color w:val="auto"/>
          <w:kern w:val="0"/>
          <w:sz w:val="36"/>
          <w:szCs w:val="36"/>
          <w:lang w:val="en-US" w:eastAsia="zh-CN" w:bidi="ar"/>
        </w:rPr>
      </w:pPr>
    </w:p>
    <w:p>
      <w:pPr>
        <w:keepNext w:val="0"/>
        <w:keepLines w:val="0"/>
        <w:widowControl/>
        <w:suppressLineNumbers w:val="0"/>
        <w:ind w:firstLine="1084" w:firstLineChars="300"/>
        <w:jc w:val="both"/>
        <w:rPr>
          <w:rFonts w:hint="eastAsia" w:ascii="新宋体" w:hAnsi="新宋体" w:eastAsia="新宋体" w:cs="新宋体"/>
          <w:b/>
          <w:bCs w:val="0"/>
          <w:color w:val="auto"/>
          <w:kern w:val="0"/>
          <w:sz w:val="36"/>
          <w:szCs w:val="36"/>
          <w:lang w:val="en-US" w:eastAsia="zh-CN" w:bidi="ar"/>
        </w:rPr>
      </w:pPr>
      <w:r>
        <w:rPr>
          <w:rStyle w:val="6"/>
          <w:rFonts w:hint="eastAsia" w:ascii="新宋体" w:hAnsi="新宋体" w:eastAsia="新宋体" w:cs="新宋体"/>
          <w:b/>
          <w:bCs w:val="0"/>
          <w:color w:val="auto"/>
          <w:kern w:val="0"/>
          <w:sz w:val="36"/>
          <w:szCs w:val="36"/>
          <w:lang w:val="en-US" w:eastAsia="zh-CN" w:bidi="ar"/>
        </w:rPr>
        <w:t>《</w:t>
      </w:r>
      <w:bookmarkStart w:id="13" w:name="_GoBack"/>
      <w:r>
        <w:rPr>
          <w:rStyle w:val="6"/>
          <w:rFonts w:hint="eastAsia" w:ascii="新宋体" w:hAnsi="新宋体" w:eastAsia="新宋体" w:cs="新宋体"/>
          <w:b/>
          <w:bCs w:val="0"/>
          <w:color w:val="auto"/>
          <w:kern w:val="0"/>
          <w:sz w:val="36"/>
          <w:szCs w:val="36"/>
          <w:lang w:val="en-US" w:eastAsia="zh-CN" w:bidi="ar"/>
        </w:rPr>
        <w:t>价格鉴证评估专业技术评审办法（试行）</w:t>
      </w:r>
      <w:bookmarkEnd w:id="13"/>
      <w:r>
        <w:rPr>
          <w:rStyle w:val="6"/>
          <w:rFonts w:hint="eastAsia" w:ascii="新宋体" w:hAnsi="新宋体" w:eastAsia="新宋体" w:cs="新宋体"/>
          <w:b/>
          <w:bCs w:val="0"/>
          <w:color w:val="auto"/>
          <w:kern w:val="0"/>
          <w:sz w:val="36"/>
          <w:szCs w:val="36"/>
          <w:lang w:val="en-US" w:eastAsia="zh-CN" w:bidi="ar"/>
        </w:rPr>
        <w:t>》</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p>
    <w:p>
      <w:pPr>
        <w:widowControl/>
        <w:jc w:val="left"/>
        <w:rPr>
          <w:rFonts w:hint="eastAsia" w:ascii="仿宋" w:hAnsi="仿宋" w:eastAsia="仿宋" w:cs="仿宋"/>
          <w:color w:val="000000"/>
          <w:kern w:val="0"/>
          <w:sz w:val="32"/>
          <w:szCs w:val="32"/>
          <w:lang w:val="en-US" w:eastAsia="zh-CN" w:bidi="ar"/>
        </w:rPr>
      </w:pPr>
      <w:r>
        <w:rPr>
          <w:rFonts w:hint="eastAsia" w:asciiTheme="minorEastAsia" w:hAnsiTheme="minorEastAsia" w:cstheme="minorEastAsia"/>
          <w:color w:val="000000"/>
          <w:kern w:val="0"/>
          <w:sz w:val="28"/>
          <w:szCs w:val="28"/>
          <w:lang w:val="en-US" w:eastAsia="zh-CN" w:bidi="ar"/>
        </w:rPr>
        <w:t xml:space="preserve">      </w:t>
      </w:r>
      <w:r>
        <w:rPr>
          <w:rFonts w:hint="eastAsia" w:ascii="仿宋" w:hAnsi="仿宋" w:eastAsia="仿宋" w:cs="仿宋"/>
          <w:color w:val="000000"/>
          <w:kern w:val="0"/>
          <w:sz w:val="32"/>
          <w:szCs w:val="32"/>
          <w:lang w:val="en-US" w:eastAsia="zh-CN" w:bidi="ar"/>
        </w:rPr>
        <w:t>为落实</w:t>
      </w:r>
      <w:bookmarkStart w:id="0" w:name="bookmark6"/>
      <w:bookmarkStart w:id="1" w:name="bookmark8"/>
      <w:bookmarkStart w:id="2" w:name="bookmark7"/>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spacing w:val="0"/>
          <w:w w:val="100"/>
          <w:position w:val="0"/>
          <w:sz w:val="32"/>
          <w:szCs w:val="32"/>
        </w:rPr>
        <w:t>价格鉴证评估专业技术评审工作规范</w:t>
      </w:r>
      <w:bookmarkEnd w:id="0"/>
      <w:bookmarkEnd w:id="1"/>
      <w:bookmarkEnd w:id="2"/>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kern w:val="0"/>
          <w:sz w:val="32"/>
          <w:szCs w:val="32"/>
          <w:lang w:val="en-US" w:eastAsia="zh-CN" w:bidi="ar"/>
        </w:rPr>
        <w:t>（中价协〔2021〕22号）、《中国价格协会价格鉴证评估专业技术评审收费标准》（中价协〔2021〕23号）等相关规定，积极推进价格鉴证评估专业技术评审工作，根据</w:t>
      </w:r>
      <w:r>
        <w:rPr>
          <w:rFonts w:hint="eastAsia" w:ascii="仿宋" w:hAnsi="仿宋" w:eastAsia="仿宋" w:cs="仿宋"/>
          <w:color w:val="000000"/>
          <w:spacing w:val="0"/>
          <w:w w:val="100"/>
          <w:position w:val="0"/>
          <w:sz w:val="32"/>
          <w:szCs w:val="32"/>
        </w:rPr>
        <w:t>国家市场监督管理总局价格监督检查和反不正当竞争局《价格鉴证评估行为指南》以及中国价格协会《价格鉴证评估执业规范》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spacing w:val="0"/>
          <w:w w:val="100"/>
          <w:position w:val="0"/>
          <w:sz w:val="32"/>
          <w:szCs w:val="32"/>
        </w:rPr>
        <w:t>价格鉴证评估专业技术评审工作规范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最高人民法院关于人民法院确定财产处置参考价若干问题的规定</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人民法院委托评估工作规范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人民法院委托评估专业技术评审工作规范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以及</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关于</w:t>
      </w:r>
      <w:r>
        <w:rPr>
          <w:rFonts w:hint="eastAsia" w:ascii="仿宋" w:hAnsi="仿宋" w:eastAsia="仿宋" w:cs="仿宋"/>
          <w:b w:val="0"/>
          <w:bCs w:val="0"/>
          <w:color w:val="000000" w:themeColor="text1"/>
          <w:kern w:val="0"/>
          <w:sz w:val="32"/>
          <w:szCs w:val="32"/>
          <w14:textFill>
            <w14:solidFill>
              <w14:schemeClr w14:val="tx1"/>
            </w14:solidFill>
          </w14:textFill>
        </w:rPr>
        <w:t>核定司法鉴定收费政策和标准的通知</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color w:val="000000"/>
          <w:spacing w:val="0"/>
          <w:w w:val="100"/>
          <w:position w:val="0"/>
          <w:sz w:val="32"/>
          <w:szCs w:val="32"/>
        </w:rPr>
        <w:t>发改价格〔2019〕979号</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等</w:t>
      </w:r>
      <w:r>
        <w:rPr>
          <w:rFonts w:hint="eastAsia" w:ascii="仿宋" w:hAnsi="仿宋" w:eastAsia="仿宋" w:cs="仿宋"/>
          <w:color w:val="000000"/>
          <w:kern w:val="0"/>
          <w:sz w:val="32"/>
          <w:szCs w:val="32"/>
          <w:lang w:val="en-US" w:eastAsia="zh-CN" w:bidi="ar"/>
        </w:rPr>
        <w:t>制定本办法。</w:t>
      </w:r>
    </w:p>
    <w:p>
      <w:pPr>
        <w:keepNext w:val="0"/>
        <w:keepLines w:val="0"/>
        <w:widowControl/>
        <w:numPr>
          <w:ilvl w:val="0"/>
          <w:numId w:val="0"/>
        </w:numPr>
        <w:suppressLineNumbers w:val="0"/>
        <w:ind w:firstLine="643" w:firstLineChars="200"/>
        <w:jc w:val="both"/>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 xml:space="preserve">第一条 </w:t>
      </w:r>
      <w:r>
        <w:rPr>
          <w:rStyle w:val="6"/>
          <w:rFonts w:hint="eastAsia" w:ascii="仿宋" w:hAnsi="仿宋" w:eastAsia="仿宋" w:cs="仿宋"/>
          <w:b w:val="0"/>
          <w:bCs w:val="0"/>
          <w:color w:val="000000"/>
          <w:kern w:val="0"/>
          <w:sz w:val="32"/>
          <w:szCs w:val="32"/>
          <w:lang w:val="en-US" w:eastAsia="zh-CN" w:bidi="ar"/>
        </w:rPr>
        <w:t>河北省价格评估行业协会组织接受人民法院委托，对涉执资产处置司法鉴证评估报告（以下简称评估报告）进行专业技术评审，适用本办法。</w:t>
      </w:r>
    </w:p>
    <w:p>
      <w:pPr>
        <w:keepNext w:val="0"/>
        <w:keepLines w:val="0"/>
        <w:widowControl/>
        <w:numPr>
          <w:ilvl w:val="0"/>
          <w:numId w:val="0"/>
        </w:numPr>
        <w:suppressLineNumbers w:val="0"/>
        <w:ind w:firstLine="643" w:firstLineChars="200"/>
        <w:jc w:val="both"/>
        <w:rPr>
          <w:rStyle w:val="6"/>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spacing w:val="0"/>
          <w:w w:val="100"/>
          <w:position w:val="0"/>
          <w:sz w:val="32"/>
          <w:szCs w:val="32"/>
          <w:lang w:val="en-US" w:eastAsia="zh-CN"/>
        </w:rPr>
        <w:t xml:space="preserve">第二条 </w:t>
      </w:r>
      <w:r>
        <w:rPr>
          <w:rStyle w:val="6"/>
          <w:rFonts w:hint="eastAsia" w:ascii="仿宋" w:hAnsi="仿宋" w:eastAsia="仿宋" w:cs="仿宋"/>
          <w:b w:val="0"/>
          <w:bCs w:val="0"/>
          <w:color w:val="000000"/>
          <w:kern w:val="0"/>
          <w:sz w:val="32"/>
          <w:szCs w:val="32"/>
          <w:lang w:val="en-US" w:eastAsia="zh-CN" w:bidi="ar"/>
        </w:rPr>
        <w:t>河北省价格评估行业协会组建省级司法鉴证评估专业技术评审人员名单库（以下称名单库），依据本办法开展评估报告专业技术评审工作。名单库的专业技术评审人员应当由注册价格鉴证师和专家学者组成。</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省级名单库原则上不超过二十人。</w:t>
      </w:r>
    </w:p>
    <w:p>
      <w:pPr>
        <w:keepNext w:val="0"/>
        <w:keepLines w:val="0"/>
        <w:widowControl/>
        <w:numPr>
          <w:ilvl w:val="0"/>
          <w:numId w:val="0"/>
        </w:numPr>
        <w:suppressLineNumbers w:val="0"/>
        <w:ind w:firstLine="643" w:firstLineChars="200"/>
        <w:jc w:val="both"/>
        <w:rPr>
          <w:rStyle w:val="6"/>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spacing w:val="0"/>
          <w:w w:val="100"/>
          <w:position w:val="0"/>
          <w:sz w:val="32"/>
          <w:szCs w:val="32"/>
          <w:lang w:val="en-US" w:eastAsia="zh-CN"/>
        </w:rPr>
        <w:t xml:space="preserve">第三条 </w:t>
      </w:r>
      <w:r>
        <w:rPr>
          <w:rStyle w:val="6"/>
          <w:rFonts w:hint="eastAsia" w:ascii="仿宋" w:hAnsi="仿宋" w:eastAsia="仿宋" w:cs="仿宋"/>
          <w:b w:val="0"/>
          <w:bCs w:val="0"/>
          <w:color w:val="000000"/>
          <w:kern w:val="0"/>
          <w:sz w:val="32"/>
          <w:szCs w:val="32"/>
          <w:lang w:val="en-US" w:eastAsia="zh-CN" w:bidi="ar"/>
        </w:rPr>
        <w:t>入选名单库的专业技术评审人员，应当具备下列条件：</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（一）拥护中国共产党的领导，遵纪守法，热心价格评估行业发展;</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（二）责任心强，具有扎实的价格估价专业知识、丰富的实践经验和良好的职业道德；</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（三）为注册价格鉴证师且连续执业满五年（含），或者具备高级职称且从事价格评估管理、研究工作满十年（含）；</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（四）无本办法第五条规定不得入选名单库的情形。</w:t>
      </w:r>
    </w:p>
    <w:p>
      <w:pPr>
        <w:keepNext w:val="0"/>
        <w:keepLines w:val="0"/>
        <w:widowControl/>
        <w:numPr>
          <w:ilvl w:val="0"/>
          <w:numId w:val="0"/>
        </w:numPr>
        <w:suppressLineNumbers w:val="0"/>
        <w:ind w:firstLine="643" w:firstLineChars="200"/>
        <w:jc w:val="both"/>
        <w:rPr>
          <w:rStyle w:val="6"/>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spacing w:val="0"/>
          <w:w w:val="100"/>
          <w:position w:val="0"/>
          <w:sz w:val="32"/>
          <w:szCs w:val="32"/>
          <w:lang w:val="en-US" w:eastAsia="zh-CN"/>
        </w:rPr>
        <w:t xml:space="preserve">第四条 </w:t>
      </w:r>
      <w:r>
        <w:rPr>
          <w:rStyle w:val="6"/>
          <w:rFonts w:hint="eastAsia" w:ascii="仿宋" w:hAnsi="仿宋" w:eastAsia="仿宋" w:cs="仿宋"/>
          <w:b w:val="0"/>
          <w:bCs w:val="0"/>
          <w:color w:val="000000"/>
          <w:kern w:val="0"/>
          <w:sz w:val="32"/>
          <w:szCs w:val="32"/>
          <w:lang w:val="en-US" w:eastAsia="zh-CN" w:bidi="ar"/>
        </w:rPr>
        <w:t>具有下列情形之一的人员，不得入选名单库：</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（一）因违反《中华人民共和国资产评估法》等法律法规被相关行政管理部门予以警告、责令停止从业、没收违法所得，或者构成犯罪，被依法追究刑事责任的；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（二）被判处刑罚的；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（三）被或者曾被人民法院依法纳入失信被执行人名单的；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（四）近五年受到过价格评估行业组织自律惩戒的。</w:t>
      </w:r>
    </w:p>
    <w:p>
      <w:pPr>
        <w:keepNext w:val="0"/>
        <w:keepLines w:val="0"/>
        <w:widowControl/>
        <w:numPr>
          <w:ilvl w:val="0"/>
          <w:numId w:val="0"/>
        </w:numPr>
        <w:suppressLineNumbers w:val="0"/>
        <w:ind w:firstLine="643" w:firstLineChars="200"/>
        <w:jc w:val="both"/>
        <w:rPr>
          <w:rStyle w:val="6"/>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spacing w:val="0"/>
          <w:w w:val="100"/>
          <w:position w:val="0"/>
          <w:sz w:val="32"/>
          <w:szCs w:val="32"/>
          <w:lang w:val="en-US" w:eastAsia="zh-CN"/>
        </w:rPr>
        <w:t xml:space="preserve">第五条 </w:t>
      </w:r>
      <w:r>
        <w:rPr>
          <w:rStyle w:val="6"/>
          <w:rFonts w:hint="eastAsia" w:ascii="仿宋" w:hAnsi="仿宋" w:eastAsia="仿宋" w:cs="仿宋"/>
          <w:b w:val="0"/>
          <w:bCs w:val="0"/>
          <w:color w:val="000000"/>
          <w:kern w:val="0"/>
          <w:sz w:val="32"/>
          <w:szCs w:val="32"/>
          <w:lang w:val="en-US" w:eastAsia="zh-CN" w:bidi="ar"/>
        </w:rPr>
        <w:t>专业技术评审人员有下列情形之一的，价格评估行业组织应当从名单库中将其除名，且五年内不得再次入库：</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（一）专业技术评审期间就评审事项与当事人、利害关系人、 出具评估报告的评估机构或者参加评估的人员不正当接触的；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（二）无正当理由连续三次不参与专业技术评审的；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（三）泄露评审意见及评审工作情况的；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（四）利用评审事项谋取私利或者为他人谋取利益的；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（五）串通表决或者诱导表决的；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（六）应当回避而未主动申请回避的；</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（七）受到价格评估行业组织自律惩戒的。</w:t>
      </w:r>
    </w:p>
    <w:p>
      <w:pPr>
        <w:keepNext w:val="0"/>
        <w:keepLines w:val="0"/>
        <w:widowControl/>
        <w:numPr>
          <w:ilvl w:val="0"/>
          <w:numId w:val="0"/>
        </w:numPr>
        <w:suppressLineNumbers w:val="0"/>
        <w:ind w:firstLine="643" w:firstLineChars="200"/>
        <w:jc w:val="both"/>
        <w:rPr>
          <w:rStyle w:val="6"/>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spacing w:val="0"/>
          <w:w w:val="100"/>
          <w:position w:val="0"/>
          <w:sz w:val="32"/>
          <w:szCs w:val="32"/>
          <w:lang w:val="en-US" w:eastAsia="zh-CN"/>
        </w:rPr>
        <w:t xml:space="preserve">第六条 </w:t>
      </w:r>
      <w:r>
        <w:rPr>
          <w:rStyle w:val="6"/>
          <w:rFonts w:hint="eastAsia" w:ascii="仿宋" w:hAnsi="仿宋" w:eastAsia="仿宋" w:cs="仿宋"/>
          <w:b w:val="0"/>
          <w:bCs w:val="0"/>
          <w:color w:val="000000"/>
          <w:kern w:val="0"/>
          <w:sz w:val="32"/>
          <w:szCs w:val="32"/>
          <w:lang w:val="en-US" w:eastAsia="zh-CN" w:bidi="ar"/>
        </w:rPr>
        <w:t>人民法院委托的专业技术评审符合下列条件的，价格评估行业组织应当予以受理。</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（一）评估报告属于为人民法院确定财产处置参考价服务且由价格评估行业组织推荐的入库机构出具;</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（二）异议事项属于对评估报告的参照标准、计算方法或者评估结果等的异议;</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（三）人民法院已提供《人民法院委托评估专业技术评审工作规范》第七条规定的材料;</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（四）异议人已按规定期限支付评审费用。</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如委托专业技术评审的评估报告，不属于由人民法院涉执财产处置司法评估机构名单库价格评估分库的估价机构出具的，价格评估行业组织应当函告人民法院依法另行委托人民法院涉执财产处置司法评估机构名单库价格评估分库的估价机构重新进行评估 。</w:t>
      </w:r>
    </w:p>
    <w:p>
      <w:pPr>
        <w:keepNext w:val="0"/>
        <w:keepLines w:val="0"/>
        <w:widowControl/>
        <w:numPr>
          <w:ilvl w:val="0"/>
          <w:numId w:val="0"/>
        </w:numPr>
        <w:suppressLineNumbers w:val="0"/>
        <w:ind w:firstLine="640" w:firstLineChars="200"/>
        <w:jc w:val="both"/>
        <w:rPr>
          <w:rStyle w:val="6"/>
          <w:rFonts w:hint="eastAsia" w:ascii="仿宋" w:hAnsi="仿宋" w:eastAsia="仿宋" w:cs="仿宋"/>
          <w:b w:val="0"/>
          <w:bCs w:val="0"/>
          <w:color w:val="000000"/>
          <w:kern w:val="0"/>
          <w:sz w:val="32"/>
          <w:szCs w:val="32"/>
          <w:lang w:val="en-US" w:eastAsia="zh-CN" w:bidi="ar"/>
        </w:rPr>
      </w:pPr>
      <w:r>
        <w:rPr>
          <w:rStyle w:val="6"/>
          <w:rFonts w:hint="eastAsia" w:ascii="仿宋" w:hAnsi="仿宋" w:eastAsia="仿宋" w:cs="仿宋"/>
          <w:b w:val="0"/>
          <w:bCs w:val="0"/>
          <w:color w:val="000000"/>
          <w:kern w:val="0"/>
          <w:sz w:val="32"/>
          <w:szCs w:val="32"/>
          <w:lang w:val="en-US" w:eastAsia="zh-CN" w:bidi="ar"/>
        </w:rPr>
        <w:t>（五）价格评估行业组织发现专业技术评审人员存在本办法第五条（一）（二）（三）情形之一的，应当从名单库中将其除名， 且不得再次入库。</w:t>
      </w:r>
    </w:p>
    <w:p>
      <w:pPr>
        <w:keepNext w:val="0"/>
        <w:keepLines w:val="0"/>
        <w:widowControl/>
        <w:numPr>
          <w:ilvl w:val="0"/>
          <w:numId w:val="0"/>
        </w:numPr>
        <w:suppressLineNumbers w:val="0"/>
        <w:ind w:firstLine="643" w:firstLineChars="200"/>
        <w:jc w:val="both"/>
        <w:rPr>
          <w:rFonts w:hint="eastAsia" w:ascii="仿宋" w:hAnsi="仿宋" w:eastAsia="仿宋" w:cs="仿宋"/>
          <w:color w:val="000000"/>
          <w:kern w:val="0"/>
          <w:sz w:val="32"/>
          <w:szCs w:val="32"/>
          <w:lang w:val="en-US" w:eastAsia="zh-CN" w:bidi="ar"/>
        </w:rPr>
      </w:pPr>
      <w:r>
        <w:rPr>
          <w:rStyle w:val="6"/>
          <w:rFonts w:hint="eastAsia" w:ascii="仿宋" w:hAnsi="仿宋" w:eastAsia="仿宋" w:cs="仿宋"/>
          <w:b/>
          <w:bCs/>
          <w:color w:val="000000"/>
          <w:kern w:val="0"/>
          <w:sz w:val="32"/>
          <w:szCs w:val="32"/>
          <w:lang w:val="en-US" w:eastAsia="zh-CN" w:bidi="ar"/>
        </w:rPr>
        <w:t>第七条</w:t>
      </w:r>
      <w:r>
        <w:rPr>
          <w:rStyle w:val="6"/>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color w:val="000000"/>
          <w:spacing w:val="0"/>
          <w:w w:val="100"/>
          <w:position w:val="0"/>
          <w:sz w:val="32"/>
          <w:szCs w:val="32"/>
        </w:rPr>
        <w:t>委托人或利害相关人</w:t>
      </w:r>
      <w:r>
        <w:rPr>
          <w:rFonts w:hint="eastAsia" w:ascii="仿宋" w:hAnsi="仿宋" w:eastAsia="仿宋" w:cs="仿宋"/>
          <w:color w:val="000000"/>
          <w:spacing w:val="0"/>
          <w:w w:val="100"/>
          <w:position w:val="0"/>
          <w:sz w:val="32"/>
          <w:szCs w:val="32"/>
          <w:lang w:val="en-US" w:eastAsia="zh-CN"/>
        </w:rPr>
        <w:t>对价格</w:t>
      </w:r>
      <w:r>
        <w:rPr>
          <w:rFonts w:hint="eastAsia" w:ascii="仿宋" w:hAnsi="仿宋" w:eastAsia="仿宋" w:cs="仿宋"/>
          <w:color w:val="000000"/>
          <w:spacing w:val="0"/>
          <w:w w:val="100"/>
          <w:position w:val="0"/>
          <w:sz w:val="32"/>
          <w:szCs w:val="32"/>
        </w:rPr>
        <w:t>评估报告</w:t>
      </w:r>
      <w:r>
        <w:rPr>
          <w:rFonts w:hint="eastAsia" w:ascii="仿宋" w:hAnsi="仿宋" w:eastAsia="仿宋" w:cs="仿宋"/>
          <w:color w:val="000000"/>
          <w:spacing w:val="0"/>
          <w:w w:val="100"/>
          <w:position w:val="0"/>
          <w:sz w:val="32"/>
          <w:szCs w:val="32"/>
          <w:lang w:val="en-US" w:eastAsia="zh-CN"/>
        </w:rPr>
        <w:t>提出异议，原价格评估评估机构在规定期限内未作说明或者对作出说明仍有异议的，可</w:t>
      </w:r>
      <w:r>
        <w:rPr>
          <w:rFonts w:hint="eastAsia" w:ascii="仿宋" w:hAnsi="仿宋" w:eastAsia="仿宋" w:cs="仿宋"/>
          <w:color w:val="000000"/>
          <w:spacing w:val="0"/>
          <w:w w:val="100"/>
          <w:position w:val="0"/>
          <w:sz w:val="32"/>
          <w:szCs w:val="32"/>
        </w:rPr>
        <w:t>在收到评估报告之日起 10日内</w:t>
      </w:r>
      <w:r>
        <w:rPr>
          <w:rFonts w:hint="eastAsia" w:ascii="仿宋" w:hAnsi="仿宋" w:eastAsia="仿宋" w:cs="仿宋"/>
          <w:color w:val="000000"/>
          <w:spacing w:val="0"/>
          <w:w w:val="100"/>
          <w:position w:val="0"/>
          <w:sz w:val="32"/>
          <w:szCs w:val="32"/>
          <w:lang w:val="en-US" w:eastAsia="zh-CN"/>
        </w:rPr>
        <w:t>由原委托方</w:t>
      </w:r>
      <w:r>
        <w:rPr>
          <w:rFonts w:hint="eastAsia" w:ascii="仿宋" w:hAnsi="仿宋" w:eastAsia="仿宋" w:cs="仿宋"/>
          <w:color w:val="000000"/>
          <w:kern w:val="0"/>
          <w:sz w:val="32"/>
          <w:szCs w:val="32"/>
          <w:lang w:val="en-US" w:eastAsia="zh-CN" w:bidi="ar"/>
        </w:rPr>
        <w:t>委托行业协会进行</w:t>
      </w:r>
      <w:r>
        <w:rPr>
          <w:rFonts w:hint="eastAsia" w:ascii="仿宋" w:hAnsi="仿宋" w:eastAsia="仿宋" w:cs="仿宋"/>
          <w:color w:val="000000"/>
          <w:spacing w:val="0"/>
          <w:w w:val="100"/>
          <w:position w:val="0"/>
          <w:sz w:val="32"/>
          <w:szCs w:val="32"/>
          <w:lang w:val="en-US" w:eastAsia="zh-CN"/>
        </w:rPr>
        <w:t>专业技术评审</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kern w:val="0"/>
          <w:sz w:val="32"/>
          <w:szCs w:val="32"/>
          <w:lang w:val="en-US" w:eastAsia="zh-CN" w:bidi="ar"/>
        </w:rPr>
        <w:t>属于下列情况之一的，不予受理：</w:t>
      </w:r>
    </w:p>
    <w:p>
      <w:pPr>
        <w:pStyle w:val="7"/>
        <w:keepNext w:val="0"/>
        <w:keepLines w:val="0"/>
        <w:widowControl w:val="0"/>
        <w:numPr>
          <w:ilvl w:val="0"/>
          <w:numId w:val="1"/>
        </w:numPr>
        <w:shd w:val="clear" w:color="auto" w:fill="auto"/>
        <w:tabs>
          <w:tab w:val="left" w:pos="1426"/>
        </w:tabs>
        <w:bidi w:val="0"/>
        <w:spacing w:before="0" w:after="0" w:line="595" w:lineRule="exact"/>
        <w:ind w:right="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逾期提出异议的；</w:t>
      </w:r>
    </w:p>
    <w:p>
      <w:pPr>
        <w:keepNext w:val="0"/>
        <w:keepLines w:val="0"/>
        <w:widowControl/>
        <w:numPr>
          <w:ilvl w:val="0"/>
          <w:numId w:val="1"/>
        </w:numPr>
        <w:suppressLineNumbers w:val="0"/>
        <w:ind w:left="0" w:leftChars="0" w:firstLine="40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材料不齐全的委托评审；</w:t>
      </w:r>
    </w:p>
    <w:p>
      <w:pPr>
        <w:keepNext w:val="0"/>
        <w:keepLines w:val="0"/>
        <w:widowControl/>
        <w:numPr>
          <w:ilvl w:val="0"/>
          <w:numId w:val="1"/>
        </w:numPr>
        <w:suppressLineNumbers w:val="0"/>
        <w:ind w:left="0" w:leftChars="0" w:firstLine="40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不属于我会自律监管范围内的委托评审；</w:t>
      </w:r>
    </w:p>
    <w:p>
      <w:pPr>
        <w:pStyle w:val="7"/>
        <w:keepNext w:val="0"/>
        <w:keepLines w:val="0"/>
        <w:widowControl w:val="0"/>
        <w:shd w:val="clear" w:color="auto" w:fill="auto"/>
        <w:tabs>
          <w:tab w:val="left" w:pos="1429"/>
        </w:tabs>
        <w:bidi w:val="0"/>
        <w:spacing w:before="0" w:after="0" w:line="595" w:lineRule="exact"/>
        <w:ind w:right="0"/>
        <w:jc w:val="both"/>
        <w:rPr>
          <w:rFonts w:hint="eastAsia" w:ascii="仿宋" w:hAnsi="仿宋" w:eastAsia="仿宋" w:cs="仿宋"/>
          <w:sz w:val="32"/>
          <w:szCs w:val="32"/>
        </w:rPr>
      </w:pPr>
      <w:bookmarkStart w:id="3" w:name="bookmark25"/>
      <w:r>
        <w:rPr>
          <w:rFonts w:hint="eastAsia" w:ascii="仿宋" w:hAnsi="仿宋" w:eastAsia="仿宋" w:cs="仿宋"/>
          <w:color w:val="000000"/>
          <w:spacing w:val="0"/>
          <w:w w:val="100"/>
          <w:position w:val="0"/>
          <w:sz w:val="32"/>
          <w:szCs w:val="32"/>
        </w:rPr>
        <w:t>（</w:t>
      </w:r>
      <w:bookmarkEnd w:id="3"/>
      <w:r>
        <w:rPr>
          <w:rFonts w:hint="eastAsia" w:ascii="仿宋" w:hAnsi="仿宋" w:eastAsia="仿宋" w:cs="仿宋"/>
          <w:color w:val="000000"/>
          <w:spacing w:val="0"/>
          <w:w w:val="100"/>
          <w:position w:val="0"/>
          <w:sz w:val="32"/>
          <w:szCs w:val="32"/>
          <w:lang w:val="en-US" w:eastAsia="zh-CN"/>
        </w:rPr>
        <w:t>四</w:t>
      </w:r>
      <w:r>
        <w:rPr>
          <w:rFonts w:hint="eastAsia" w:ascii="仿宋" w:hAnsi="仿宋" w:eastAsia="仿宋" w:cs="仿宋"/>
          <w:color w:val="000000"/>
          <w:spacing w:val="0"/>
          <w:w w:val="100"/>
          <w:position w:val="0"/>
          <w:sz w:val="32"/>
          <w:szCs w:val="32"/>
        </w:rPr>
        <w:t>）异议提出方不是价格鉴证评估事项的委托单位、相关当事人，或者与价格鉴证评估事项无利害关系的；</w:t>
      </w:r>
    </w:p>
    <w:p>
      <w:pPr>
        <w:pStyle w:val="7"/>
        <w:keepNext w:val="0"/>
        <w:keepLines w:val="0"/>
        <w:widowControl w:val="0"/>
        <w:shd w:val="clear" w:color="auto" w:fill="auto"/>
        <w:tabs>
          <w:tab w:val="left" w:pos="1426"/>
        </w:tabs>
        <w:bidi w:val="0"/>
        <w:spacing w:before="0" w:after="0" w:line="595" w:lineRule="exact"/>
        <w:ind w:right="0"/>
        <w:jc w:val="both"/>
        <w:rPr>
          <w:rFonts w:hint="eastAsia" w:ascii="仿宋" w:hAnsi="仿宋" w:eastAsia="仿宋" w:cs="仿宋"/>
          <w:sz w:val="32"/>
          <w:szCs w:val="32"/>
        </w:rPr>
      </w:pPr>
      <w:bookmarkStart w:id="4" w:name="bookmark26"/>
      <w:r>
        <w:rPr>
          <w:rFonts w:hint="eastAsia" w:ascii="仿宋" w:hAnsi="仿宋" w:eastAsia="仿宋" w:cs="仿宋"/>
          <w:color w:val="000000"/>
          <w:spacing w:val="0"/>
          <w:w w:val="100"/>
          <w:position w:val="0"/>
          <w:sz w:val="32"/>
          <w:szCs w:val="32"/>
        </w:rPr>
        <w:t>（</w:t>
      </w:r>
      <w:bookmarkEnd w:id="4"/>
      <w:r>
        <w:rPr>
          <w:rFonts w:hint="eastAsia" w:ascii="仿宋" w:hAnsi="仿宋" w:eastAsia="仿宋" w:cs="仿宋"/>
          <w:color w:val="000000"/>
          <w:spacing w:val="0"/>
          <w:w w:val="100"/>
          <w:position w:val="0"/>
          <w:sz w:val="32"/>
          <w:szCs w:val="32"/>
          <w:lang w:val="en-US" w:eastAsia="zh-CN"/>
        </w:rPr>
        <w:t>五</w:t>
      </w:r>
      <w:r>
        <w:rPr>
          <w:rFonts w:hint="eastAsia" w:ascii="仿宋" w:hAnsi="仿宋" w:eastAsia="仿宋" w:cs="仿宋"/>
          <w:color w:val="000000"/>
          <w:spacing w:val="0"/>
          <w:w w:val="100"/>
          <w:position w:val="0"/>
          <w:sz w:val="32"/>
          <w:szCs w:val="32"/>
        </w:rPr>
        <w:t>）异议书无正当异议理由的，或异议事项不明确的；</w:t>
      </w:r>
    </w:p>
    <w:p>
      <w:pPr>
        <w:pStyle w:val="7"/>
        <w:keepNext w:val="0"/>
        <w:keepLines w:val="0"/>
        <w:widowControl w:val="0"/>
        <w:shd w:val="clear" w:color="auto" w:fill="auto"/>
        <w:tabs>
          <w:tab w:val="left" w:pos="1426"/>
        </w:tabs>
        <w:bidi w:val="0"/>
        <w:spacing w:before="0" w:after="0" w:line="595" w:lineRule="exact"/>
        <w:ind w:right="0"/>
        <w:jc w:val="both"/>
        <w:rPr>
          <w:rFonts w:hint="eastAsia" w:ascii="仿宋" w:hAnsi="仿宋" w:eastAsia="仿宋" w:cs="仿宋"/>
          <w:color w:val="000000"/>
          <w:spacing w:val="0"/>
          <w:w w:val="100"/>
          <w:position w:val="0"/>
          <w:sz w:val="32"/>
          <w:szCs w:val="32"/>
        </w:rPr>
      </w:pPr>
      <w:bookmarkStart w:id="5" w:name="bookmark27"/>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lang w:val="en-US" w:eastAsia="zh-CN"/>
        </w:rPr>
        <w:t>六</w:t>
      </w:r>
      <w:r>
        <w:rPr>
          <w:rFonts w:hint="eastAsia" w:ascii="仿宋" w:hAnsi="仿宋" w:eastAsia="仿宋" w:cs="仿宋"/>
          <w:color w:val="000000"/>
          <w:spacing w:val="0"/>
          <w:w w:val="100"/>
          <w:position w:val="0"/>
          <w:sz w:val="32"/>
          <w:szCs w:val="32"/>
        </w:rPr>
        <w:t>）异议书无异议提出单位印章或提出人签名的。</w:t>
      </w:r>
    </w:p>
    <w:p>
      <w:pPr>
        <w:pStyle w:val="7"/>
        <w:keepNext w:val="0"/>
        <w:keepLines w:val="0"/>
        <w:widowControl w:val="0"/>
        <w:shd w:val="clear" w:color="auto" w:fill="auto"/>
        <w:tabs>
          <w:tab w:val="left" w:pos="1426"/>
        </w:tabs>
        <w:bidi w:val="0"/>
        <w:spacing w:before="0" w:after="0" w:line="595" w:lineRule="exact"/>
        <w:ind w:right="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（七）因专业技术评审人员库所属专业技术评审人员在某一特定领域具有专业胜任能力未能达到最少3人，导致对专业技术评审无法受理的；</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（八） 本实施办法虽未列明，但基于客观现实确实无法开展专业技术评审的其他情况。</w:t>
      </w:r>
    </w:p>
    <w:p>
      <w:pPr>
        <w:keepNext w:val="0"/>
        <w:keepLines w:val="0"/>
        <w:widowControl/>
        <w:numPr>
          <w:ilvl w:val="0"/>
          <w:numId w:val="0"/>
        </w:numPr>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第八条 </w:t>
      </w:r>
      <w:r>
        <w:rPr>
          <w:rFonts w:hint="eastAsia" w:ascii="仿宋" w:hAnsi="仿宋" w:eastAsia="仿宋" w:cs="仿宋"/>
          <w:b w:val="0"/>
          <w:bCs w:val="0"/>
          <w:color w:val="000000"/>
          <w:kern w:val="0"/>
          <w:sz w:val="32"/>
          <w:szCs w:val="32"/>
          <w:lang w:val="en-US" w:eastAsia="zh-CN" w:bidi="ar"/>
        </w:rPr>
        <w:t>受理方式。</w:t>
      </w:r>
      <w:r>
        <w:rPr>
          <w:rFonts w:hint="eastAsia" w:ascii="仿宋" w:hAnsi="仿宋" w:eastAsia="仿宋" w:cs="仿宋"/>
          <w:color w:val="000000"/>
          <w:kern w:val="0"/>
          <w:sz w:val="32"/>
          <w:szCs w:val="32"/>
          <w:lang w:val="en-US" w:eastAsia="zh-CN" w:bidi="ar"/>
        </w:rPr>
        <w:t>委托方可通过电话联系省评鉴协（电话附后），经初步沟通符合专业技术评审条件的，再通过专用系统、邮寄或直接送达等方式送交委托专业技术评审材料，</w:t>
      </w:r>
      <w:r>
        <w:rPr>
          <w:rFonts w:hint="eastAsia" w:ascii="仿宋" w:hAnsi="仿宋" w:eastAsia="仿宋" w:cs="仿宋"/>
          <w:color w:val="000000"/>
          <w:spacing w:val="0"/>
          <w:w w:val="100"/>
          <w:position w:val="0"/>
          <w:sz w:val="32"/>
          <w:szCs w:val="32"/>
          <w:lang w:val="en-US" w:eastAsia="zh-CN"/>
        </w:rPr>
        <w:t>材料</w:t>
      </w:r>
      <w:r>
        <w:rPr>
          <w:rFonts w:hint="eastAsia" w:ascii="仿宋" w:hAnsi="仿宋" w:eastAsia="仿宋" w:cs="仿宋"/>
          <w:color w:val="000000"/>
          <w:spacing w:val="0"/>
          <w:w w:val="100"/>
          <w:position w:val="0"/>
          <w:sz w:val="32"/>
          <w:szCs w:val="32"/>
        </w:rPr>
        <w:t>应当包含下列内容：</w:t>
      </w:r>
    </w:p>
    <w:p>
      <w:pPr>
        <w:pStyle w:val="7"/>
        <w:keepNext w:val="0"/>
        <w:keepLines w:val="0"/>
        <w:widowControl w:val="0"/>
        <w:shd w:val="clear" w:color="auto" w:fill="auto"/>
        <w:bidi w:val="0"/>
        <w:spacing w:before="0" w:after="0" w:line="593" w:lineRule="exact"/>
        <w:ind w:right="0"/>
        <w:jc w:val="both"/>
        <w:rPr>
          <w:rFonts w:hint="eastAsia" w:ascii="仿宋" w:hAnsi="仿宋" w:eastAsia="仿宋" w:cs="仿宋"/>
          <w:color w:val="000000"/>
          <w:spacing w:val="0"/>
          <w:w w:val="100"/>
          <w:position w:val="0"/>
          <w:sz w:val="32"/>
          <w:szCs w:val="32"/>
          <w:lang w:eastAsia="zh-CN"/>
        </w:rPr>
      </w:pPr>
      <w:bookmarkStart w:id="6" w:name="bookmark28"/>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专业技术评审委托书</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93" w:lineRule="exact"/>
        <w:ind w:right="0"/>
        <w:jc w:val="both"/>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二</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价格鉴证评估报告</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93" w:lineRule="exact"/>
        <w:ind w:right="0"/>
        <w:jc w:val="both"/>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三</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委托人或利害关系人的书面异议和提交的证明材料，以及委托评估时提交的相关材料</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93" w:lineRule="exact"/>
        <w:ind w:right="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四</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评估机构的书面异议答复及工作底稿。</w:t>
      </w:r>
    </w:p>
    <w:p>
      <w:pPr>
        <w:pStyle w:val="7"/>
        <w:keepNext w:val="0"/>
        <w:keepLines w:val="0"/>
        <w:widowControl w:val="0"/>
        <w:shd w:val="clear" w:color="auto" w:fill="auto"/>
        <w:bidi w:val="0"/>
        <w:spacing w:before="0" w:after="0" w:line="593" w:lineRule="exact"/>
        <w:ind w:left="0" w:leftChars="0" w:right="0" w:firstLine="643" w:firstLineChars="20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zh-CN"/>
        </w:rPr>
        <w:t xml:space="preserve">第九条 </w:t>
      </w:r>
      <w:r>
        <w:rPr>
          <w:rFonts w:hint="eastAsia" w:ascii="仿宋" w:hAnsi="仿宋" w:eastAsia="仿宋" w:cs="仿宋"/>
          <w:color w:val="000000"/>
          <w:spacing w:val="0"/>
          <w:w w:val="100"/>
          <w:position w:val="0"/>
          <w:sz w:val="32"/>
          <w:szCs w:val="32"/>
          <w:lang w:val="en-US" w:eastAsia="zh-CN"/>
        </w:rPr>
        <w:t>省评鉴协</w:t>
      </w:r>
      <w:r>
        <w:rPr>
          <w:rFonts w:hint="eastAsia" w:ascii="仿宋" w:hAnsi="仿宋" w:eastAsia="仿宋" w:cs="仿宋"/>
          <w:color w:val="000000"/>
          <w:spacing w:val="0"/>
          <w:w w:val="100"/>
          <w:position w:val="0"/>
          <w:sz w:val="32"/>
          <w:szCs w:val="32"/>
        </w:rPr>
        <w:t>应将收到的委托专业技术评审材料登记造册，并载明评审委托人名称、材料名称和材料收取日期等详细信息。对于材料不全的，或认为属于评审工作所需要补充的材料，可要求评审委托人或评估机构在5个工作日内提交。</w:t>
      </w:r>
    </w:p>
    <w:p>
      <w:pPr>
        <w:pStyle w:val="7"/>
        <w:keepNext w:val="0"/>
        <w:keepLines w:val="0"/>
        <w:widowControl w:val="0"/>
        <w:shd w:val="clear" w:color="auto" w:fill="auto"/>
        <w:bidi w:val="0"/>
        <w:spacing w:before="0" w:after="0" w:line="593" w:lineRule="exact"/>
        <w:ind w:left="0" w:right="0" w:firstLine="6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zh-CN"/>
        </w:rPr>
        <w:t>第十条</w:t>
      </w:r>
      <w:r>
        <w:rPr>
          <w:rFonts w:hint="eastAsia" w:ascii="仿宋" w:hAnsi="仿宋" w:eastAsia="仿宋" w:cs="仿宋"/>
          <w:b w:val="0"/>
          <w:bCs w:val="0"/>
          <w:color w:val="000000"/>
          <w:spacing w:val="0"/>
          <w:w w:val="100"/>
          <w:position w:val="0"/>
          <w:sz w:val="32"/>
          <w:szCs w:val="32"/>
          <w:lang w:val="en-US" w:eastAsia="zh-CN"/>
        </w:rPr>
        <w:t xml:space="preserve"> 省评鉴协</w:t>
      </w:r>
      <w:r>
        <w:rPr>
          <w:rFonts w:hint="eastAsia" w:ascii="仿宋" w:hAnsi="仿宋" w:eastAsia="仿宋" w:cs="仿宋"/>
          <w:color w:val="000000"/>
          <w:spacing w:val="0"/>
          <w:w w:val="100"/>
          <w:position w:val="0"/>
          <w:sz w:val="32"/>
          <w:szCs w:val="32"/>
        </w:rPr>
        <w:t>应当根据收到的材料进行审核，以确定该委托是否属于其受理范围，以及该委托是否符合相关规定。</w:t>
      </w:r>
    </w:p>
    <w:p>
      <w:pPr>
        <w:pStyle w:val="7"/>
        <w:keepNext w:val="0"/>
        <w:keepLines w:val="0"/>
        <w:widowControl w:val="0"/>
        <w:shd w:val="clear" w:color="auto" w:fill="auto"/>
        <w:bidi w:val="0"/>
        <w:spacing w:before="0" w:after="220" w:line="593" w:lineRule="exact"/>
        <w:ind w:left="0" w:right="0" w:firstLine="62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spacing w:val="0"/>
          <w:w w:val="100"/>
          <w:position w:val="0"/>
          <w:sz w:val="32"/>
          <w:szCs w:val="32"/>
        </w:rPr>
        <w:t>对于超出受理范围或者不符合要求的评审委托，可以退回委托，</w:t>
      </w:r>
      <w:r>
        <w:rPr>
          <w:rFonts w:hint="eastAsia" w:ascii="仿宋" w:hAnsi="仿宋" w:eastAsia="仿宋" w:cs="仿宋"/>
          <w:color w:val="000000"/>
          <w:kern w:val="0"/>
          <w:sz w:val="32"/>
          <w:szCs w:val="32"/>
          <w:lang w:val="en-US" w:eastAsia="zh-CN" w:bidi="ar"/>
        </w:rPr>
        <w:t>原渠道退回相关资料。</w:t>
      </w:r>
    </w:p>
    <w:p>
      <w:pPr>
        <w:pStyle w:val="7"/>
        <w:keepNext w:val="0"/>
        <w:keepLines w:val="0"/>
        <w:widowControl w:val="0"/>
        <w:shd w:val="clear" w:color="auto" w:fill="auto"/>
        <w:bidi w:val="0"/>
        <w:spacing w:before="0" w:after="220" w:line="593" w:lineRule="exact"/>
        <w:ind w:left="0" w:right="0" w:firstLine="62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对于在受理范围内且符合要求的评审委托，应当根据</w:t>
      </w:r>
      <w:r>
        <w:rPr>
          <w:rFonts w:hint="eastAsia" w:ascii="仿宋" w:hAnsi="仿宋" w:eastAsia="仿宋" w:cs="仿宋"/>
          <w:color w:val="000000"/>
          <w:spacing w:val="0"/>
          <w:w w:val="100"/>
          <w:position w:val="0"/>
          <w:sz w:val="32"/>
          <w:szCs w:val="32"/>
          <w:lang w:val="en-US" w:eastAsia="zh-CN"/>
        </w:rPr>
        <w:t>案件需要确定专家组构成人数和按照</w:t>
      </w:r>
      <w:r>
        <w:rPr>
          <w:rFonts w:hint="eastAsia" w:ascii="仿宋" w:hAnsi="仿宋" w:eastAsia="仿宋" w:cs="仿宋"/>
          <w:color w:val="000000"/>
          <w:spacing w:val="0"/>
          <w:w w:val="100"/>
          <w:position w:val="0"/>
          <w:sz w:val="32"/>
          <w:szCs w:val="32"/>
        </w:rPr>
        <w:t>价格鉴证评估专业技术评审收费标准确定评审收费金额，</w:t>
      </w:r>
      <w:r>
        <w:rPr>
          <w:rFonts w:hint="eastAsia" w:ascii="仿宋" w:hAnsi="仿宋" w:eastAsia="仿宋" w:cs="仿宋"/>
          <w:color w:val="000000"/>
          <w:spacing w:val="0"/>
          <w:w w:val="100"/>
          <w:position w:val="0"/>
          <w:sz w:val="32"/>
          <w:szCs w:val="32"/>
          <w:lang w:val="en-US" w:eastAsia="zh-CN"/>
        </w:rPr>
        <w:t>并</w:t>
      </w:r>
      <w:r>
        <w:rPr>
          <w:rFonts w:hint="eastAsia" w:ascii="仿宋" w:hAnsi="仿宋" w:eastAsia="仿宋" w:cs="仿宋"/>
          <w:color w:val="000000"/>
          <w:spacing w:val="0"/>
          <w:w w:val="100"/>
          <w:position w:val="0"/>
          <w:sz w:val="32"/>
          <w:szCs w:val="32"/>
        </w:rPr>
        <w:t>向评审委托人提交收费通知书。</w:t>
      </w:r>
    </w:p>
    <w:p>
      <w:pPr>
        <w:pStyle w:val="7"/>
        <w:keepNext w:val="0"/>
        <w:keepLines w:val="0"/>
        <w:widowControl w:val="0"/>
        <w:shd w:val="clear" w:color="auto" w:fill="auto"/>
        <w:bidi w:val="0"/>
        <w:spacing w:before="0" w:after="220" w:line="593" w:lineRule="exact"/>
        <w:ind w:left="0" w:right="0" w:firstLine="6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zh-CN"/>
        </w:rPr>
        <w:t>第十一条</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评估机构未在</w:t>
      </w:r>
      <w:r>
        <w:rPr>
          <w:rFonts w:hint="eastAsia" w:ascii="仿宋" w:hAnsi="仿宋" w:eastAsia="仿宋" w:cs="仿宋"/>
          <w:color w:val="000000"/>
          <w:spacing w:val="0"/>
          <w:w w:val="100"/>
          <w:position w:val="0"/>
          <w:sz w:val="32"/>
          <w:szCs w:val="32"/>
          <w:lang w:eastAsia="zh-CN"/>
        </w:rPr>
        <w:t>规定</w:t>
      </w:r>
      <w:r>
        <w:rPr>
          <w:rFonts w:hint="eastAsia" w:ascii="仿宋" w:hAnsi="仿宋" w:eastAsia="仿宋" w:cs="仿宋"/>
          <w:color w:val="000000"/>
          <w:spacing w:val="0"/>
          <w:w w:val="100"/>
          <w:position w:val="0"/>
          <w:sz w:val="32"/>
          <w:szCs w:val="32"/>
        </w:rPr>
        <w:t>期限内向人民法院提交评估报告或评估工作底稿的，中国价格协会和地方行业协会接收人民法院委托后，应当责成评估机构在5个工作日内提交；评估机构在期限内仍未提交的，应将情况函复人民法院，由人民法院</w:t>
      </w:r>
      <w:r>
        <w:rPr>
          <w:rFonts w:hint="eastAsia" w:ascii="仿宋" w:hAnsi="仿宋" w:eastAsia="仿宋" w:cs="仿宋"/>
          <w:color w:val="000000"/>
          <w:spacing w:val="0"/>
          <w:w w:val="100"/>
          <w:position w:val="0"/>
          <w:sz w:val="32"/>
          <w:szCs w:val="32"/>
          <w:lang w:val="en-US" w:eastAsia="zh-CN"/>
        </w:rPr>
        <w:t>按照相关</w:t>
      </w:r>
      <w:r>
        <w:rPr>
          <w:rFonts w:hint="eastAsia" w:ascii="仿宋" w:hAnsi="仿宋" w:eastAsia="仿宋" w:cs="仿宋"/>
          <w:color w:val="000000"/>
          <w:spacing w:val="0"/>
          <w:w w:val="100"/>
          <w:position w:val="0"/>
          <w:sz w:val="32"/>
          <w:szCs w:val="32"/>
        </w:rPr>
        <w:t>规定，另行委托下一顺序的评估机构重新进行评估。</w:t>
      </w:r>
    </w:p>
    <w:p>
      <w:pPr>
        <w:pStyle w:val="7"/>
        <w:keepNext w:val="0"/>
        <w:keepLines w:val="0"/>
        <w:widowControl w:val="0"/>
        <w:shd w:val="clear" w:color="auto" w:fill="auto"/>
        <w:bidi w:val="0"/>
        <w:spacing w:before="0" w:after="280" w:line="596" w:lineRule="exact"/>
        <w:ind w:left="0" w:right="0" w:firstLine="6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zh-CN"/>
        </w:rPr>
        <w:t xml:space="preserve">第十二条 </w:t>
      </w:r>
      <w:r>
        <w:rPr>
          <w:rFonts w:hint="eastAsia" w:ascii="仿宋" w:hAnsi="仿宋" w:eastAsia="仿宋" w:cs="仿宋"/>
          <w:color w:val="000000"/>
          <w:spacing w:val="0"/>
          <w:w w:val="100"/>
          <w:position w:val="0"/>
          <w:sz w:val="32"/>
          <w:szCs w:val="32"/>
        </w:rPr>
        <w:t>对未在期限内提交评估报告或评估工作底稿的评估机构，中国价格协会和地方行业协会应按照有关规定进行行业自律惩戒, 同时函告人民法院将该评估机构从人民法院司法评估机构名单库中除名。</w:t>
      </w:r>
    </w:p>
    <w:bookmarkEnd w:id="6"/>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第十三条</w:t>
      </w:r>
      <w:r>
        <w:rPr>
          <w:rFonts w:hint="eastAsia" w:ascii="仿宋" w:hAnsi="仿宋" w:eastAsia="仿宋" w:cs="仿宋"/>
          <w:color w:val="000000"/>
          <w:kern w:val="0"/>
          <w:sz w:val="32"/>
          <w:szCs w:val="32"/>
          <w:lang w:val="en-US" w:eastAsia="zh-CN" w:bidi="ar"/>
        </w:rPr>
        <w:t xml:space="preserve"> 专业技术评审人员</w:t>
      </w:r>
      <w:r>
        <w:rPr>
          <w:rFonts w:hint="eastAsia" w:ascii="仿宋" w:hAnsi="仿宋" w:eastAsia="仿宋" w:cs="仿宋"/>
          <w:color w:val="000000"/>
          <w:spacing w:val="0"/>
          <w:w w:val="100"/>
          <w:position w:val="0"/>
          <w:sz w:val="32"/>
          <w:szCs w:val="32"/>
        </w:rPr>
        <w:t>应坚持独立、客观、公正的原则，诚实守信，勤勉尽责，谨慎从业，遵守职业道德。</w:t>
      </w:r>
      <w:r>
        <w:rPr>
          <w:rFonts w:hint="eastAsia" w:ascii="仿宋" w:hAnsi="仿宋" w:eastAsia="仿宋" w:cs="仿宋"/>
          <w:color w:val="000000"/>
          <w:kern w:val="0"/>
          <w:sz w:val="32"/>
          <w:szCs w:val="32"/>
          <w:lang w:val="en-US" w:eastAsia="zh-CN" w:bidi="ar"/>
        </w:rPr>
        <w:t>专业技术评审人员的入库、除名、回避应遵照《</w:t>
      </w:r>
      <w:r>
        <w:rPr>
          <w:rFonts w:hint="eastAsia" w:ascii="仿宋" w:hAnsi="仿宋" w:eastAsia="仿宋" w:cs="仿宋"/>
          <w:color w:val="000000"/>
          <w:spacing w:val="0"/>
          <w:w w:val="100"/>
          <w:position w:val="0"/>
          <w:sz w:val="32"/>
          <w:szCs w:val="32"/>
        </w:rPr>
        <w:t>价格鉴证评估专业技术评审工作规范</w:t>
      </w:r>
      <w:r>
        <w:rPr>
          <w:rFonts w:hint="eastAsia" w:ascii="仿宋" w:hAnsi="仿宋" w:eastAsia="仿宋" w:cs="仿宋"/>
          <w:color w:val="000000"/>
          <w:kern w:val="0"/>
          <w:sz w:val="32"/>
          <w:szCs w:val="32"/>
          <w:lang w:val="en-US" w:eastAsia="zh-CN" w:bidi="ar"/>
        </w:rPr>
        <w:t>》（中价协〔2021〕23号）规定执行。</w:t>
      </w:r>
    </w:p>
    <w:p>
      <w:pPr>
        <w:keepNext w:val="0"/>
        <w:keepLines w:val="0"/>
        <w:widowControl/>
        <w:numPr>
          <w:ilvl w:val="0"/>
          <w:numId w:val="0"/>
        </w:numPr>
        <w:suppressLineNumbers w:val="0"/>
        <w:ind w:firstLine="643" w:firstLineChars="200"/>
        <w:jc w:val="left"/>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lang w:val="en-US" w:eastAsia="zh-CN"/>
        </w:rPr>
        <w:t>第十四条</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专业技术评审，由从价格鉴证评估专业技术评审人员名单库根据工作需要选取的专业技术评审人员组成的专家组进行；专家组成员数量根据委托专业技术评审的估价报告的项目 规模、难易程度等确定。小型项目、中型项目且难度一般的，一般确定三人或五人;大型项目或者较为复杂的，应当确定七人及以上。</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评审人员因故不能参加评审工作时，可从专业技术评审人员库中补充。</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专家组实行项目组长负责制。组长负责具体组织实施评审工作；负责与相关评估机构、当事人及人民法院等进行专业问题沟通；负责汇总、撰写、提交专业技术评审报告；负责组织、完成后续相关工作等。</w:t>
      </w:r>
    </w:p>
    <w:p>
      <w:pPr>
        <w:pStyle w:val="7"/>
        <w:keepNext w:val="0"/>
        <w:keepLines w:val="0"/>
        <w:widowControl w:val="0"/>
        <w:shd w:val="clear" w:color="auto" w:fill="auto"/>
        <w:bidi w:val="0"/>
        <w:spacing w:before="0" w:after="0" w:line="599" w:lineRule="exact"/>
        <w:ind w:left="0" w:leftChars="0" w:right="0" w:firstLine="643" w:firstLineChars="200"/>
        <w:jc w:val="both"/>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spacing w:val="0"/>
          <w:w w:val="100"/>
          <w:position w:val="0"/>
          <w:sz w:val="32"/>
          <w:szCs w:val="32"/>
        </w:rPr>
        <w:t>专家组应当自组建的次日起10个工作日内完成专业技术评审，并出具专业技术评审报告</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与委托方另有约定的从其约定</w:t>
      </w:r>
      <w:r>
        <w:rPr>
          <w:rFonts w:hint="eastAsia" w:ascii="仿宋" w:hAnsi="仿宋" w:eastAsia="仿宋" w:cs="仿宋"/>
          <w:color w:val="000000"/>
          <w:spacing w:val="0"/>
          <w:w w:val="100"/>
          <w:position w:val="0"/>
          <w:sz w:val="32"/>
          <w:szCs w:val="32"/>
        </w:rPr>
        <w:t>。</w:t>
      </w:r>
    </w:p>
    <w:p>
      <w:pPr>
        <w:pStyle w:val="7"/>
        <w:keepNext w:val="0"/>
        <w:keepLines w:val="0"/>
        <w:widowControl w:val="0"/>
        <w:shd w:val="clear" w:color="auto" w:fill="auto"/>
        <w:bidi w:val="0"/>
        <w:spacing w:before="0" w:after="0" w:line="599" w:lineRule="exact"/>
        <w:ind w:left="0" w:leftChars="0" w:right="0" w:firstLine="640" w:firstLineChars="2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专业技术评审报告应当由全部专家组成员署名签字。</w:t>
      </w:r>
    </w:p>
    <w:p>
      <w:pPr>
        <w:pStyle w:val="7"/>
        <w:keepNext w:val="0"/>
        <w:keepLines w:val="0"/>
        <w:widowControl w:val="0"/>
        <w:shd w:val="clear" w:color="auto" w:fill="auto"/>
        <w:bidi w:val="0"/>
        <w:spacing w:before="0" w:after="0" w:line="599" w:lineRule="exact"/>
        <w:ind w:left="0" w:leftChars="0" w:right="0" w:firstLine="640" w:firstLineChars="200"/>
        <w:jc w:val="both"/>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专业技术评审结论应当符合下列规定</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99" w:lineRule="exact"/>
        <w:ind w:left="0" w:leftChars="0" w:right="0" w:firstLine="640" w:firstLineChars="2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报告不存在书面异议提出的问题的，出具对异议问题不予支持的专业技术评审结论;</w:t>
      </w:r>
    </w:p>
    <w:p>
      <w:pPr>
        <w:pStyle w:val="7"/>
        <w:keepNext w:val="0"/>
        <w:keepLines w:val="0"/>
        <w:widowControl w:val="0"/>
        <w:shd w:val="clear" w:color="auto" w:fill="auto"/>
        <w:bidi w:val="0"/>
        <w:spacing w:before="0" w:after="0" w:line="599" w:lineRule="exact"/>
        <w:ind w:left="0" w:leftChars="0" w:right="0" w:firstLine="640" w:firstLineChars="2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报告存在或者部分存在书面异议提出的问题的，专业技术评审结论应当明确指出存在的问题，提出修改意见，并说明其对</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结果的影响。</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结果经评审后认为在合理市场价格区间内的，可以同时出具</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结果符合市场价值的专业技术评审结论;</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结果不在合理市场价格区间的，应当提出要求</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机构对估</w:t>
      </w:r>
      <w:r>
        <w:rPr>
          <w:rFonts w:hint="eastAsia" w:ascii="仿宋" w:hAnsi="仿宋" w:eastAsia="仿宋" w:cs="仿宋"/>
          <w:color w:val="000000"/>
          <w:spacing w:val="0"/>
          <w:w w:val="100"/>
          <w:position w:val="0"/>
          <w:sz w:val="32"/>
          <w:szCs w:val="32"/>
          <w:lang w:eastAsia="zh-CN"/>
        </w:rPr>
        <w:t>评估</w:t>
      </w:r>
      <w:r>
        <w:rPr>
          <w:rFonts w:hint="eastAsia" w:ascii="仿宋" w:hAnsi="仿宋" w:eastAsia="仿宋" w:cs="仿宋"/>
          <w:color w:val="000000"/>
          <w:spacing w:val="0"/>
          <w:w w:val="100"/>
          <w:position w:val="0"/>
          <w:sz w:val="32"/>
          <w:szCs w:val="32"/>
        </w:rPr>
        <w:t>结果予以补正的意见。</w:t>
      </w:r>
    </w:p>
    <w:p>
      <w:pPr>
        <w:pStyle w:val="7"/>
        <w:keepNext w:val="0"/>
        <w:keepLines w:val="0"/>
        <w:widowControl w:val="0"/>
        <w:numPr>
          <w:ilvl w:val="0"/>
          <w:numId w:val="0"/>
        </w:numPr>
        <w:shd w:val="clear" w:color="auto" w:fill="auto"/>
        <w:bidi w:val="0"/>
        <w:spacing w:before="0" w:after="0" w:line="599" w:lineRule="exact"/>
        <w:ind w:right="0" w:rightChars="0" w:firstLine="643" w:firstLineChars="200"/>
        <w:jc w:val="both"/>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kern w:val="0"/>
          <w:sz w:val="32"/>
          <w:szCs w:val="32"/>
          <w:lang w:val="en-US" w:eastAsia="zh-CN" w:bidi="ar"/>
        </w:rPr>
        <w:t>第十六条</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专家组认为不能在指定的期限内完成评审工作的，应在期限届满前5个工作日通过中国价格协会或地方行业协会向评审委托人提出书面延期申请，说明延期理由和延长期限，延长期限不得超过10个工作日。</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第十七条 </w:t>
      </w:r>
      <w:r>
        <w:rPr>
          <w:rFonts w:hint="eastAsia" w:ascii="仿宋" w:hAnsi="仿宋" w:eastAsia="仿宋" w:cs="仿宋"/>
          <w:color w:val="000000"/>
          <w:kern w:val="0"/>
          <w:sz w:val="32"/>
          <w:szCs w:val="32"/>
          <w:lang w:val="en-US" w:eastAsia="zh-CN" w:bidi="ar"/>
        </w:rPr>
        <w:t>审阅资料。将材料发送至项目组每个专家，各自进行审阅；</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第十八条 </w:t>
      </w:r>
      <w:r>
        <w:rPr>
          <w:rFonts w:hint="eastAsia" w:ascii="仿宋" w:hAnsi="仿宋" w:eastAsia="仿宋" w:cs="仿宋"/>
          <w:color w:val="000000"/>
          <w:kern w:val="0"/>
          <w:sz w:val="32"/>
          <w:szCs w:val="32"/>
          <w:lang w:val="en-US" w:eastAsia="zh-CN" w:bidi="ar"/>
        </w:rPr>
        <w:t>初步会商。对案件的情况、是否需要其他资料以及是否需要调查访谈各自发表意见，项目组长汇总作出安排。视情采取线下或线上的会商模式，也可以分别交流会商。</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第十九条 </w:t>
      </w:r>
      <w:r>
        <w:rPr>
          <w:rFonts w:hint="eastAsia" w:ascii="仿宋" w:hAnsi="仿宋" w:eastAsia="仿宋" w:cs="仿宋"/>
          <w:color w:val="000000"/>
          <w:kern w:val="0"/>
          <w:sz w:val="32"/>
          <w:szCs w:val="32"/>
          <w:lang w:val="en-US" w:eastAsia="zh-CN" w:bidi="ar"/>
        </w:rPr>
        <w:t>根据会商结果根据需要可安排评估机构及评估师陈述或相关</w:t>
      </w:r>
    </w:p>
    <w:p>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当事人调查及访谈。</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第二十条　</w:t>
      </w:r>
      <w:r>
        <w:rPr>
          <w:rFonts w:hint="eastAsia" w:ascii="仿宋" w:hAnsi="仿宋" w:eastAsia="仿宋" w:cs="仿宋"/>
          <w:color w:val="000000"/>
          <w:kern w:val="0"/>
          <w:sz w:val="32"/>
          <w:szCs w:val="32"/>
          <w:lang w:val="en-US" w:eastAsia="zh-CN" w:bidi="ar"/>
        </w:rPr>
        <w:t>专家组认为必要时可以实施现场勘查等程序，相应当事人应进行必要的配合。</w:t>
      </w:r>
    </w:p>
    <w:p>
      <w:pPr>
        <w:keepNext w:val="0"/>
        <w:keepLines w:val="0"/>
        <w:widowControl/>
        <w:numPr>
          <w:ilvl w:val="0"/>
          <w:numId w:val="0"/>
        </w:numPr>
        <w:suppressLineNumbers w:val="0"/>
        <w:ind w:left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根据具体情况，专家组可以对上述程序进行增加或减少。</w:t>
      </w:r>
    </w:p>
    <w:p>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第二十一条　</w:t>
      </w:r>
      <w:r>
        <w:rPr>
          <w:rFonts w:hint="eastAsia" w:ascii="仿宋" w:hAnsi="仿宋" w:eastAsia="仿宋" w:cs="仿宋"/>
          <w:color w:val="000000"/>
          <w:kern w:val="0"/>
          <w:sz w:val="32"/>
          <w:szCs w:val="32"/>
          <w:lang w:val="en-US" w:eastAsia="zh-CN" w:bidi="ar"/>
        </w:rPr>
        <w:t>专家组集体评议，并表决出具评审报告。</w:t>
      </w:r>
    </w:p>
    <w:p>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w:t>
      </w:r>
      <w:r>
        <w:rPr>
          <w:rFonts w:hint="eastAsia" w:ascii="仿宋" w:hAnsi="仿宋" w:eastAsia="仿宋" w:cs="仿宋"/>
          <w:b/>
          <w:bCs/>
          <w:color w:val="000000"/>
          <w:kern w:val="0"/>
          <w:sz w:val="32"/>
          <w:szCs w:val="32"/>
          <w:lang w:val="en-US" w:eastAsia="zh-CN" w:bidi="ar"/>
        </w:rPr>
        <w:t>第二十二条　</w:t>
      </w:r>
      <w:r>
        <w:rPr>
          <w:rFonts w:hint="eastAsia" w:ascii="仿宋" w:hAnsi="仿宋" w:eastAsia="仿宋" w:cs="仿宋"/>
          <w:color w:val="000000"/>
          <w:kern w:val="0"/>
          <w:sz w:val="32"/>
          <w:szCs w:val="32"/>
          <w:lang w:val="en-US" w:eastAsia="zh-CN" w:bidi="ar"/>
        </w:rPr>
        <w:t>专业技术评审一般应通过集中评审方式进行，实行少数服从多数的原则。特殊情况下也可以采用线上讨论，各自签署专业技术评审意见书的方式进行，同样也是实行少数服从多数的原则。</w:t>
      </w:r>
    </w:p>
    <w:p>
      <w:pPr>
        <w:pStyle w:val="7"/>
        <w:keepNext w:val="0"/>
        <w:keepLines w:val="0"/>
        <w:widowControl w:val="0"/>
        <w:shd w:val="clear" w:color="auto" w:fill="auto"/>
        <w:bidi w:val="0"/>
        <w:spacing w:before="0" w:after="220" w:line="599" w:lineRule="exact"/>
        <w:ind w:left="0" w:leftChars="0" w:right="0" w:firstLine="0" w:firstLineChars="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　</w:t>
      </w:r>
      <w:r>
        <w:rPr>
          <w:rFonts w:hint="eastAsia" w:ascii="仿宋" w:hAnsi="仿宋" w:eastAsia="仿宋" w:cs="仿宋"/>
          <w:b/>
          <w:bCs/>
          <w:color w:val="000000"/>
          <w:spacing w:val="0"/>
          <w:w w:val="100"/>
          <w:position w:val="0"/>
          <w:sz w:val="32"/>
          <w:szCs w:val="32"/>
          <w:lang w:val="en-US" w:eastAsia="zh-CN"/>
        </w:rPr>
        <w:t>　第二十三条</w:t>
      </w:r>
      <w:r>
        <w:rPr>
          <w:rFonts w:hint="eastAsia" w:ascii="仿宋" w:hAnsi="仿宋" w:eastAsia="仿宋" w:cs="仿宋"/>
          <w:color w:val="000000"/>
          <w:spacing w:val="0"/>
          <w:w w:val="100"/>
          <w:position w:val="0"/>
          <w:sz w:val="32"/>
          <w:szCs w:val="32"/>
          <w:lang w:val="en-US" w:eastAsia="zh-CN"/>
        </w:rPr>
        <w:t>　</w:t>
      </w:r>
      <w:r>
        <w:rPr>
          <w:rFonts w:hint="eastAsia" w:ascii="仿宋" w:hAnsi="仿宋" w:eastAsia="仿宋" w:cs="仿宋"/>
          <w:color w:val="000000"/>
          <w:spacing w:val="0"/>
          <w:w w:val="100"/>
          <w:position w:val="0"/>
          <w:sz w:val="32"/>
          <w:szCs w:val="32"/>
        </w:rPr>
        <w:t>专业技术评审报告应当载明专业技术评审工作开展情况、对有关价格鉴证评估报告的概括性描述、对当事人和利害关系人提出的书面异议中涉及参照标准、计算方法或评估结果等问题依据相关价格鉴证评估规范逐一进行评审，形成专业技术评审结论，在评审结论中应当列示相关法律法规或者相关价格鉴证评估规范依据。</w:t>
      </w:r>
    </w:p>
    <w:p>
      <w:pPr>
        <w:pStyle w:val="7"/>
        <w:keepNext w:val="0"/>
        <w:keepLines w:val="0"/>
        <w:widowControl w:val="0"/>
        <w:shd w:val="clear" w:color="auto" w:fill="auto"/>
        <w:bidi w:val="0"/>
        <w:spacing w:before="0" w:after="0" w:line="624" w:lineRule="exact"/>
        <w:ind w:left="0" w:right="0" w:firstLine="6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zh-CN"/>
        </w:rPr>
        <w:t>第二十四条　</w:t>
      </w:r>
      <w:r>
        <w:rPr>
          <w:rFonts w:hint="eastAsia" w:ascii="仿宋" w:hAnsi="仿宋" w:eastAsia="仿宋" w:cs="仿宋"/>
          <w:color w:val="000000"/>
          <w:spacing w:val="0"/>
          <w:w w:val="100"/>
          <w:position w:val="0"/>
          <w:sz w:val="32"/>
          <w:szCs w:val="32"/>
        </w:rPr>
        <w:t>专业技术评审工作底稿应如实记载专业技术评审情况和专家组成员的个人评审意见及承诺函，并附相关材料。</w:t>
      </w:r>
      <w:r>
        <w:rPr>
          <w:rFonts w:hint="eastAsia" w:ascii="仿宋" w:hAnsi="仿宋" w:eastAsia="仿宋" w:cs="仿宋"/>
          <w:b/>
          <w:bCs/>
          <w:color w:val="000000"/>
          <w:spacing w:val="0"/>
          <w:w w:val="100"/>
          <w:position w:val="0"/>
          <w:sz w:val="32"/>
          <w:szCs w:val="32"/>
        </w:rPr>
        <w:t>专</w:t>
      </w:r>
      <w:r>
        <w:rPr>
          <w:rFonts w:hint="eastAsia" w:ascii="仿宋" w:hAnsi="仿宋" w:eastAsia="仿宋" w:cs="仿宋"/>
          <w:color w:val="000000"/>
          <w:spacing w:val="0"/>
          <w:w w:val="100"/>
          <w:position w:val="0"/>
          <w:sz w:val="32"/>
          <w:szCs w:val="32"/>
        </w:rPr>
        <w:t>家组在评审工作中应当形成专业技术评审工作底稿，并由专家组成员签字。</w:t>
      </w:r>
    </w:p>
    <w:p>
      <w:pPr>
        <w:pStyle w:val="7"/>
        <w:keepNext w:val="0"/>
        <w:keepLines w:val="0"/>
        <w:widowControl w:val="0"/>
        <w:shd w:val="clear" w:color="auto" w:fill="auto"/>
        <w:bidi w:val="0"/>
        <w:spacing w:before="0" w:after="0" w:line="596" w:lineRule="exact"/>
        <w:ind w:left="0" w:right="0" w:firstLine="620"/>
        <w:jc w:val="both"/>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专业技术评审工作结束后，</w:t>
      </w:r>
      <w:r>
        <w:rPr>
          <w:rFonts w:hint="eastAsia" w:ascii="仿宋" w:hAnsi="仿宋" w:eastAsia="仿宋" w:cs="仿宋"/>
          <w:color w:val="000000"/>
          <w:spacing w:val="0"/>
          <w:w w:val="100"/>
          <w:position w:val="0"/>
          <w:sz w:val="32"/>
          <w:szCs w:val="32"/>
          <w:lang w:val="en-US" w:eastAsia="zh-CN"/>
        </w:rPr>
        <w:t>河北省价格评估鉴证</w:t>
      </w:r>
      <w:r>
        <w:rPr>
          <w:rFonts w:hint="eastAsia" w:ascii="仿宋" w:hAnsi="仿宋" w:eastAsia="仿宋" w:cs="仿宋"/>
          <w:color w:val="000000"/>
          <w:spacing w:val="0"/>
          <w:w w:val="100"/>
          <w:position w:val="0"/>
          <w:sz w:val="32"/>
          <w:szCs w:val="32"/>
        </w:rPr>
        <w:t>协会应当将专业技术评审报告提交评审委托人</w:t>
      </w:r>
      <w:r>
        <w:rPr>
          <w:rFonts w:hint="eastAsia" w:ascii="仿宋" w:hAnsi="仿宋" w:eastAsia="仿宋" w:cs="仿宋"/>
          <w:color w:val="000000"/>
          <w:spacing w:val="0"/>
          <w:w w:val="100"/>
          <w:position w:val="0"/>
          <w:sz w:val="32"/>
          <w:szCs w:val="32"/>
          <w:lang w:eastAsia="zh-CN"/>
        </w:rPr>
        <w:t>。</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Style w:val="6"/>
          <w:rFonts w:hint="eastAsia" w:ascii="仿宋" w:hAnsi="仿宋" w:eastAsia="仿宋" w:cs="仿宋"/>
          <w:b/>
          <w:bCs w:val="0"/>
          <w:color w:val="000000"/>
          <w:kern w:val="0"/>
          <w:sz w:val="32"/>
          <w:szCs w:val="32"/>
          <w:lang w:val="en-US" w:eastAsia="zh-CN" w:bidi="ar"/>
        </w:rPr>
        <w:t xml:space="preserve">第二十五条 </w:t>
      </w:r>
      <w:r>
        <w:rPr>
          <w:rStyle w:val="6"/>
          <w:rFonts w:hint="eastAsia" w:ascii="仿宋" w:hAnsi="仿宋" w:eastAsia="仿宋" w:cs="仿宋"/>
          <w:b w:val="0"/>
          <w:bCs/>
          <w:color w:val="000000"/>
          <w:kern w:val="0"/>
          <w:sz w:val="32"/>
          <w:szCs w:val="32"/>
          <w:lang w:val="en-US" w:eastAsia="zh-CN" w:bidi="ar"/>
        </w:rPr>
        <w:t>专业技术评审工作费用。</w:t>
      </w:r>
      <w:r>
        <w:rPr>
          <w:rFonts w:hint="eastAsia" w:ascii="仿宋" w:hAnsi="仿宋" w:eastAsia="仿宋" w:cs="仿宋"/>
          <w:color w:val="000000"/>
          <w:kern w:val="0"/>
          <w:sz w:val="32"/>
          <w:szCs w:val="32"/>
          <w:lang w:val="en-US" w:eastAsia="zh-CN" w:bidi="ar"/>
        </w:rPr>
        <w:t>评审费用收取根据委托项目具体情况，依据中价协印发的《</w:t>
      </w:r>
      <w:bookmarkStart w:id="7" w:name="bookmark12"/>
      <w:bookmarkStart w:id="8" w:name="bookmark11"/>
      <w:bookmarkStart w:id="9" w:name="bookmark10"/>
      <w:r>
        <w:rPr>
          <w:rFonts w:hint="eastAsia" w:ascii="仿宋" w:hAnsi="仿宋" w:eastAsia="仿宋" w:cs="仿宋"/>
          <w:color w:val="000000"/>
          <w:spacing w:val="0"/>
          <w:w w:val="100"/>
          <w:position w:val="0"/>
          <w:sz w:val="32"/>
          <w:szCs w:val="32"/>
        </w:rPr>
        <w:t>价格鉴证评估专业技术评审收费标准</w:t>
      </w:r>
      <w:bookmarkEnd w:id="7"/>
      <w:bookmarkEnd w:id="8"/>
      <w:bookmarkEnd w:id="9"/>
      <w:r>
        <w:rPr>
          <w:rFonts w:hint="eastAsia" w:ascii="仿宋" w:hAnsi="仿宋" w:eastAsia="仿宋" w:cs="仿宋"/>
          <w:color w:val="000000"/>
          <w:kern w:val="0"/>
          <w:sz w:val="32"/>
          <w:szCs w:val="32"/>
          <w:lang w:val="en-US" w:eastAsia="zh-CN" w:bidi="ar"/>
        </w:rPr>
        <w:t>》合理确定评审费用，发送收费通知书。收费通知书应当载明收费金额及收款时间，评审费用应当在规定期限内支付至河北省评估鉴证协会指定的账户，并开具发票。费用收取标准如下：</w:t>
      </w:r>
    </w:p>
    <w:tbl>
      <w:tblPr>
        <w:tblStyle w:val="4"/>
        <w:tblW w:w="0" w:type="auto"/>
        <w:jc w:val="center"/>
        <w:tblLayout w:type="fixed"/>
        <w:tblCellMar>
          <w:top w:w="0" w:type="dxa"/>
          <w:left w:w="10" w:type="dxa"/>
          <w:bottom w:w="0" w:type="dxa"/>
          <w:right w:w="10" w:type="dxa"/>
        </w:tblCellMar>
      </w:tblPr>
      <w:tblGrid>
        <w:gridCol w:w="1318"/>
        <w:gridCol w:w="1125"/>
        <w:gridCol w:w="2804"/>
        <w:gridCol w:w="2251"/>
      </w:tblGrid>
      <w:tr>
        <w:tblPrEx>
          <w:tblCellMar>
            <w:top w:w="0" w:type="dxa"/>
            <w:left w:w="10" w:type="dxa"/>
            <w:bottom w:w="0" w:type="dxa"/>
            <w:right w:w="10" w:type="dxa"/>
          </w:tblCellMar>
        </w:tblPrEx>
        <w:trPr>
          <w:trHeight w:val="631"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1125"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80" w:line="240" w:lineRule="auto"/>
              <w:ind w:left="0" w:right="0" w:firstLine="0"/>
              <w:jc w:val="center"/>
            </w:pPr>
            <w:r>
              <w:rPr>
                <w:color w:val="000000"/>
                <w:spacing w:val="0"/>
                <w:w w:val="100"/>
                <w:position w:val="0"/>
              </w:rPr>
              <w:t>收费起点</w:t>
            </w:r>
          </w:p>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w:t>
            </w: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pPr>
            <w:r>
              <w:rPr>
                <w:color w:val="000000"/>
                <w:spacing w:val="0"/>
                <w:w w:val="100"/>
                <w:position w:val="0"/>
              </w:rPr>
              <w:t>计费额度（万元）</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费率</w:t>
            </w:r>
          </w:p>
        </w:tc>
      </w:tr>
      <w:tr>
        <w:tblPrEx>
          <w:tblCellMar>
            <w:top w:w="0" w:type="dxa"/>
            <w:left w:w="10" w:type="dxa"/>
            <w:bottom w:w="0" w:type="dxa"/>
            <w:right w:w="10" w:type="dxa"/>
          </w:tblCellMar>
        </w:tblPrEx>
        <w:trPr>
          <w:trHeight w:val="389"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1</w:t>
            </w:r>
          </w:p>
        </w:tc>
        <w:tc>
          <w:tcPr>
            <w:tcW w:w="1125"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rPr>
              <w:t>8000</w:t>
            </w:r>
          </w:p>
        </w:tc>
        <w:tc>
          <w:tcPr>
            <w:tcW w:w="2804" w:type="dxa"/>
            <w:tcBorders>
              <w:top w:val="single" w:color="auto" w:sz="4" w:space="0"/>
              <w:left w:val="single" w:color="auto" w:sz="4" w:space="0"/>
            </w:tcBorders>
            <w:shd w:val="clear" w:color="auto" w:fill="FFFFFF"/>
            <w:vAlign w:val="top"/>
          </w:tcPr>
          <w:p>
            <w:pPr>
              <w:widowControl w:val="0"/>
              <w:rPr>
                <w:sz w:val="10"/>
                <w:szCs w:val="10"/>
              </w:rPr>
            </w:pPr>
          </w:p>
        </w:tc>
        <w:tc>
          <w:tcPr>
            <w:tcW w:w="22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2</w:t>
            </w:r>
          </w:p>
        </w:tc>
        <w:tc>
          <w:tcPr>
            <w:tcW w:w="1125" w:type="dxa"/>
            <w:tcBorders>
              <w:top w:val="single" w:color="auto" w:sz="4" w:space="0"/>
              <w:left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100</w:t>
            </w:r>
            <w:r>
              <w:rPr>
                <w:color w:val="000000"/>
                <w:spacing w:val="0"/>
                <w:w w:val="100"/>
                <w:position w:val="0"/>
              </w:rPr>
              <w:t>以下（含</w:t>
            </w:r>
            <w:r>
              <w:rPr>
                <w:rFonts w:ascii="Times New Roman" w:hAnsi="Times New Roman" w:eastAsia="Times New Roman" w:cs="Times New Roman"/>
                <w:b/>
                <w:bCs/>
                <w:color w:val="000000"/>
                <w:spacing w:val="0"/>
                <w:w w:val="100"/>
                <w:position w:val="0"/>
              </w:rPr>
              <w:t>100）</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rPr>
            </w:pPr>
            <w:r>
              <w:rPr>
                <w:rFonts w:ascii="Times New Roman" w:hAnsi="Times New Roman" w:eastAsia="Times New Roman" w:cs="Times New Roman"/>
                <w:b/>
                <w:bCs/>
                <w:color w:val="000000"/>
                <w:spacing w:val="0"/>
                <w:w w:val="100"/>
                <w:position w:val="0"/>
              </w:rPr>
              <w:t>10</w:t>
            </w:r>
            <w:r>
              <w:rPr>
                <w:rFonts w:hint="default" w:ascii="Arial" w:hAnsi="Arial" w:eastAsia="Times New Roman" w:cs="Arial"/>
                <w:b/>
                <w:bCs/>
                <w:color w:val="000000"/>
                <w:spacing w:val="0"/>
                <w:w w:val="100"/>
                <w:position w:val="0"/>
              </w:rPr>
              <w:t>‰</w:t>
            </w:r>
          </w:p>
        </w:tc>
      </w:tr>
      <w:tr>
        <w:tblPrEx>
          <w:tblCellMar>
            <w:top w:w="0" w:type="dxa"/>
            <w:left w:w="10" w:type="dxa"/>
            <w:bottom w:w="0" w:type="dxa"/>
            <w:right w:w="10" w:type="dxa"/>
          </w:tblCellMar>
        </w:tblPrEx>
        <w:trPr>
          <w:trHeight w:val="398"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3</w:t>
            </w:r>
          </w:p>
        </w:tc>
        <w:tc>
          <w:tcPr>
            <w:tcW w:w="1125" w:type="dxa"/>
            <w:tcBorders>
              <w:top w:val="single" w:color="auto" w:sz="4" w:space="0"/>
              <w:left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 xml:space="preserve">100 </w:t>
            </w:r>
            <w:r>
              <w:rPr>
                <w:color w:val="000000"/>
                <w:spacing w:val="0"/>
                <w:w w:val="100"/>
                <w:position w:val="0"/>
              </w:rPr>
              <w:t>以上一</w:t>
            </w:r>
            <w:r>
              <w:rPr>
                <w:rFonts w:ascii="Times New Roman" w:hAnsi="Times New Roman" w:eastAsia="Times New Roman" w:cs="Times New Roman"/>
                <w:b/>
                <w:bCs/>
                <w:color w:val="000000"/>
                <w:spacing w:val="0"/>
                <w:w w:val="100"/>
                <w:position w:val="0"/>
              </w:rPr>
              <w:t xml:space="preserve">1000 </w:t>
            </w:r>
            <w:r>
              <w:rPr>
                <w:color w:val="000000"/>
                <w:spacing w:val="0"/>
                <w:w w:val="100"/>
                <w:position w:val="0"/>
              </w:rPr>
              <w:t xml:space="preserve">（含 </w:t>
            </w:r>
            <w:r>
              <w:rPr>
                <w:rFonts w:ascii="Times New Roman" w:hAnsi="Times New Roman" w:eastAsia="Times New Roman" w:cs="Times New Roman"/>
                <w:b/>
                <w:bCs/>
                <w:color w:val="000000"/>
                <w:spacing w:val="0"/>
                <w:w w:val="100"/>
                <w:position w:val="0"/>
              </w:rPr>
              <w:t>1000）</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4.5</w:t>
            </w:r>
            <w:r>
              <w:rPr>
                <w:rFonts w:hint="default" w:ascii="Arial" w:hAnsi="Arial" w:eastAsia="Times New Roman" w:cs="Arial"/>
                <w:b/>
                <w:bCs/>
                <w:color w:val="000000"/>
                <w:spacing w:val="0"/>
                <w:w w:val="100"/>
                <w:position w:val="0"/>
              </w:rPr>
              <w:t>‰</w:t>
            </w:r>
          </w:p>
        </w:tc>
      </w:tr>
      <w:tr>
        <w:tblPrEx>
          <w:tblCellMar>
            <w:top w:w="0" w:type="dxa"/>
            <w:left w:w="10" w:type="dxa"/>
            <w:bottom w:w="0" w:type="dxa"/>
            <w:right w:w="10" w:type="dxa"/>
          </w:tblCellMar>
        </w:tblPrEx>
        <w:trPr>
          <w:trHeight w:val="389"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4</w:t>
            </w:r>
          </w:p>
        </w:tc>
        <w:tc>
          <w:tcPr>
            <w:tcW w:w="1125" w:type="dxa"/>
            <w:tcBorders>
              <w:top w:val="single" w:color="auto" w:sz="4" w:space="0"/>
              <w:left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 xml:space="preserve">1000 </w:t>
            </w:r>
            <w:r>
              <w:rPr>
                <w:color w:val="000000"/>
                <w:spacing w:val="0"/>
                <w:w w:val="100"/>
                <w:position w:val="0"/>
              </w:rPr>
              <w:t>以上一</w:t>
            </w:r>
            <w:r>
              <w:rPr>
                <w:rFonts w:ascii="Times New Roman" w:hAnsi="Times New Roman" w:eastAsia="Times New Roman" w:cs="Times New Roman"/>
                <w:b/>
                <w:bCs/>
                <w:color w:val="000000"/>
                <w:spacing w:val="0"/>
                <w:w w:val="100"/>
                <w:position w:val="0"/>
              </w:rPr>
              <w:t xml:space="preserve">5000 </w:t>
            </w:r>
            <w:r>
              <w:rPr>
                <w:color w:val="000000"/>
                <w:spacing w:val="0"/>
                <w:w w:val="100"/>
                <w:position w:val="0"/>
              </w:rPr>
              <w:t xml:space="preserve">（含 </w:t>
            </w:r>
            <w:r>
              <w:rPr>
                <w:rFonts w:ascii="Times New Roman" w:hAnsi="Times New Roman" w:eastAsia="Times New Roman" w:cs="Times New Roman"/>
                <w:b/>
                <w:bCs/>
                <w:color w:val="000000"/>
                <w:spacing w:val="0"/>
                <w:w w:val="100"/>
                <w:position w:val="0"/>
              </w:rPr>
              <w:t>5000）</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890" w:firstLineChars="494"/>
              <w:jc w:val="left"/>
            </w:pPr>
            <w:r>
              <w:rPr>
                <w:rFonts w:ascii="Times New Roman" w:hAnsi="Times New Roman" w:eastAsia="Times New Roman" w:cs="Times New Roman"/>
                <w:b/>
                <w:bCs/>
                <w:color w:val="000000"/>
                <w:spacing w:val="0"/>
                <w:w w:val="100"/>
                <w:position w:val="0"/>
                <w:lang w:val="en-US" w:eastAsia="en-US" w:bidi="en-US"/>
              </w:rPr>
              <w:t>1.5</w:t>
            </w:r>
            <w:r>
              <w:rPr>
                <w:rFonts w:hint="default" w:ascii="Arial" w:hAnsi="Arial" w:eastAsia="Times New Roman" w:cs="Arial"/>
                <w:b/>
                <w:bCs/>
                <w:color w:val="000000"/>
                <w:spacing w:val="0"/>
                <w:w w:val="100"/>
                <w:position w:val="0"/>
              </w:rPr>
              <w:t>‰</w:t>
            </w:r>
          </w:p>
        </w:tc>
      </w:tr>
      <w:tr>
        <w:tblPrEx>
          <w:tblCellMar>
            <w:top w:w="0" w:type="dxa"/>
            <w:left w:w="10" w:type="dxa"/>
            <w:bottom w:w="0" w:type="dxa"/>
            <w:right w:w="10" w:type="dxa"/>
          </w:tblCellMar>
        </w:tblPrEx>
        <w:trPr>
          <w:trHeight w:val="389"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5</w:t>
            </w:r>
          </w:p>
        </w:tc>
        <w:tc>
          <w:tcPr>
            <w:tcW w:w="1125" w:type="dxa"/>
            <w:tcBorders>
              <w:top w:val="single" w:color="auto" w:sz="4" w:space="0"/>
              <w:left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 xml:space="preserve">5000 </w:t>
            </w:r>
            <w:r>
              <w:rPr>
                <w:color w:val="000000"/>
                <w:spacing w:val="0"/>
                <w:w w:val="100"/>
                <w:position w:val="0"/>
              </w:rPr>
              <w:t xml:space="preserve">以上一 </w:t>
            </w:r>
            <w:r>
              <w:rPr>
                <w:rFonts w:ascii="Times New Roman" w:hAnsi="Times New Roman" w:eastAsia="Times New Roman" w:cs="Times New Roman"/>
                <w:b/>
                <w:bCs/>
                <w:color w:val="000000"/>
                <w:spacing w:val="0"/>
                <w:w w:val="100"/>
                <w:position w:val="0"/>
              </w:rPr>
              <w:t xml:space="preserve">10000 </w:t>
            </w:r>
            <w:r>
              <w:rPr>
                <w:color w:val="000000"/>
                <w:spacing w:val="0"/>
                <w:w w:val="100"/>
                <w:position w:val="0"/>
              </w:rPr>
              <w:t xml:space="preserve">（含 </w:t>
            </w:r>
            <w:r>
              <w:rPr>
                <w:rFonts w:ascii="Times New Roman" w:hAnsi="Times New Roman" w:eastAsia="Times New Roman" w:cs="Times New Roman"/>
                <w:b/>
                <w:bCs/>
                <w:color w:val="000000"/>
                <w:spacing w:val="0"/>
                <w:w w:val="100"/>
                <w:position w:val="0"/>
              </w:rPr>
              <w:t xml:space="preserve">10000 </w:t>
            </w:r>
            <w:r>
              <w:rPr>
                <w:color w:val="000000"/>
                <w:spacing w:val="0"/>
                <w:w w:val="100"/>
                <w:position w:val="0"/>
              </w:rPr>
              <w:t>）</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0.75</w:t>
            </w:r>
            <w:r>
              <w:rPr>
                <w:rFonts w:hint="default" w:ascii="Arial" w:hAnsi="Arial" w:eastAsia="Times New Roman" w:cs="Arial"/>
                <w:b/>
                <w:bCs/>
                <w:color w:val="000000"/>
                <w:spacing w:val="0"/>
                <w:w w:val="100"/>
                <w:position w:val="0"/>
              </w:rPr>
              <w:t>‰</w:t>
            </w:r>
          </w:p>
        </w:tc>
      </w:tr>
      <w:tr>
        <w:tblPrEx>
          <w:tblCellMar>
            <w:top w:w="0" w:type="dxa"/>
            <w:left w:w="10" w:type="dxa"/>
            <w:bottom w:w="0" w:type="dxa"/>
            <w:right w:w="10" w:type="dxa"/>
          </w:tblCellMar>
        </w:tblPrEx>
        <w:trPr>
          <w:trHeight w:val="398" w:hRule="exact"/>
          <w:jc w:val="center"/>
        </w:trPr>
        <w:tc>
          <w:tcPr>
            <w:tcW w:w="1318"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6</w:t>
            </w:r>
          </w:p>
        </w:tc>
        <w:tc>
          <w:tcPr>
            <w:tcW w:w="1125" w:type="dxa"/>
            <w:tcBorders>
              <w:top w:val="single" w:color="auto" w:sz="4" w:space="0"/>
              <w:left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 xml:space="preserve">10000 </w:t>
            </w:r>
            <w:r>
              <w:rPr>
                <w:color w:val="000000"/>
                <w:spacing w:val="0"/>
                <w:w w:val="100"/>
                <w:position w:val="0"/>
              </w:rPr>
              <w:t>以上一</w:t>
            </w:r>
            <w:r>
              <w:rPr>
                <w:rFonts w:ascii="Times New Roman" w:hAnsi="Times New Roman" w:eastAsia="Times New Roman" w:cs="Times New Roman"/>
                <w:b/>
                <w:bCs/>
                <w:color w:val="000000"/>
                <w:spacing w:val="0"/>
                <w:w w:val="100"/>
                <w:position w:val="0"/>
              </w:rPr>
              <w:t>100000（</w:t>
            </w:r>
            <w:r>
              <w:rPr>
                <w:color w:val="000000"/>
                <w:spacing w:val="0"/>
                <w:w w:val="100"/>
                <w:position w:val="0"/>
              </w:rPr>
              <w:t xml:space="preserve">含 </w:t>
            </w:r>
            <w:r>
              <w:rPr>
                <w:rFonts w:ascii="Times New Roman" w:hAnsi="Times New Roman" w:eastAsia="Times New Roman" w:cs="Times New Roman"/>
                <w:b/>
                <w:bCs/>
                <w:color w:val="000000"/>
                <w:spacing w:val="0"/>
                <w:w w:val="100"/>
                <w:position w:val="0"/>
              </w:rPr>
              <w:t xml:space="preserve">100000 </w:t>
            </w:r>
            <w:r>
              <w:rPr>
                <w:color w:val="000000"/>
                <w:spacing w:val="0"/>
                <w:w w:val="100"/>
                <w:position w:val="0"/>
              </w:rPr>
              <w:t>）</w:t>
            </w:r>
          </w:p>
        </w:tc>
        <w:tc>
          <w:tcPr>
            <w:tcW w:w="225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rPr>
              <w:t>0.2</w:t>
            </w:r>
            <w:r>
              <w:rPr>
                <w:rFonts w:hint="default" w:ascii="Arial" w:hAnsi="Arial" w:eastAsia="Times New Roman" w:cs="Arial"/>
                <w:b/>
                <w:bCs/>
                <w:color w:val="000000"/>
                <w:spacing w:val="0"/>
                <w:w w:val="100"/>
                <w:position w:val="0"/>
              </w:rPr>
              <w:t>‰</w:t>
            </w:r>
          </w:p>
        </w:tc>
      </w:tr>
      <w:tr>
        <w:tblPrEx>
          <w:tblCellMar>
            <w:top w:w="0" w:type="dxa"/>
            <w:left w:w="10" w:type="dxa"/>
            <w:bottom w:w="0" w:type="dxa"/>
            <w:right w:w="10" w:type="dxa"/>
          </w:tblCellMar>
        </w:tblPrEx>
        <w:trPr>
          <w:trHeight w:val="408" w:hRule="exact"/>
          <w:jc w:val="center"/>
        </w:trPr>
        <w:tc>
          <w:tcPr>
            <w:tcW w:w="1318"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b/>
                <w:bCs/>
                <w:color w:val="000000"/>
                <w:spacing w:val="0"/>
                <w:w w:val="100"/>
                <w:position w:val="0"/>
              </w:rPr>
              <w:t>7</w:t>
            </w:r>
          </w:p>
        </w:tc>
        <w:tc>
          <w:tcPr>
            <w:tcW w:w="112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804"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rPr>
              <w:t>100000</w:t>
            </w:r>
            <w:r>
              <w:rPr>
                <w:color w:val="000000"/>
                <w:spacing w:val="0"/>
                <w:w w:val="100"/>
                <w:position w:val="0"/>
              </w:rPr>
              <w:t>以上</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0.1</w:t>
            </w:r>
            <w:r>
              <w:rPr>
                <w:rFonts w:ascii="Times New Roman" w:hAnsi="Times New Roman" w:eastAsia="Times New Roman" w:cs="Times New Roman"/>
                <w:b/>
                <w:bCs/>
                <w:color w:val="000000"/>
                <w:spacing w:val="0"/>
                <w:w w:val="100"/>
                <w:position w:val="0"/>
              </w:rPr>
              <w:t>5</w:t>
            </w:r>
            <w:r>
              <w:rPr>
                <w:rFonts w:hint="default" w:ascii="Arial" w:hAnsi="Arial" w:eastAsia="Times New Roman" w:cs="Arial"/>
                <w:b/>
                <w:bCs/>
                <w:color w:val="000000"/>
                <w:spacing w:val="0"/>
                <w:w w:val="100"/>
                <w:position w:val="0"/>
              </w:rPr>
              <w:t>‰</w:t>
            </w:r>
          </w:p>
        </w:tc>
      </w:tr>
    </w:tbl>
    <w:p>
      <w:pPr>
        <w:pStyle w:val="9"/>
        <w:keepNext w:val="0"/>
        <w:keepLines w:val="0"/>
        <w:widowControl w:val="0"/>
        <w:shd w:val="clear" w:color="auto" w:fill="auto"/>
        <w:bidi w:val="0"/>
        <w:spacing w:before="0" w:after="0" w:line="240" w:lineRule="auto"/>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注</w:t>
      </w:r>
      <w:r>
        <w:rPr>
          <w:rFonts w:hint="eastAsia" w:ascii="仿宋" w:hAnsi="仿宋" w:eastAsia="仿宋" w:cs="仿宋"/>
          <w:color w:val="000000"/>
          <w:spacing w:val="0"/>
          <w:w w:val="100"/>
          <w:position w:val="0"/>
          <w:sz w:val="32"/>
          <w:szCs w:val="32"/>
          <w:lang w:val="en-US" w:eastAsia="zh-CN"/>
        </w:rPr>
        <w:t>: 1.</w:t>
      </w:r>
      <w:r>
        <w:rPr>
          <w:rFonts w:hint="eastAsia" w:ascii="仿宋" w:hAnsi="仿宋" w:eastAsia="仿宋" w:cs="仿宋"/>
          <w:color w:val="000000"/>
          <w:spacing w:val="0"/>
          <w:w w:val="100"/>
          <w:position w:val="0"/>
          <w:sz w:val="32"/>
          <w:szCs w:val="32"/>
        </w:rPr>
        <w:t>以上收费从累进制计算</w:t>
      </w:r>
      <w:r>
        <w:rPr>
          <w:rFonts w:hint="eastAsia" w:ascii="仿宋" w:hAnsi="仿宋" w:eastAsia="仿宋" w:cs="仿宋"/>
          <w:color w:val="000000"/>
          <w:spacing w:val="0"/>
          <w:w w:val="100"/>
          <w:position w:val="0"/>
          <w:sz w:val="32"/>
          <w:szCs w:val="32"/>
          <w:lang w:eastAsia="zh-CN"/>
        </w:rPr>
        <w:t>；</w:t>
      </w:r>
    </w:p>
    <w:p>
      <w:pPr>
        <w:widowControl w:val="0"/>
        <w:spacing w:after="159" w:line="1" w:lineRule="exact"/>
        <w:rPr>
          <w:rFonts w:hint="eastAsia" w:ascii="仿宋" w:hAnsi="仿宋" w:eastAsia="仿宋" w:cs="仿宋"/>
          <w:sz w:val="32"/>
          <w:szCs w:val="32"/>
        </w:rPr>
      </w:pPr>
    </w:p>
    <w:p>
      <w:pPr>
        <w:pStyle w:val="7"/>
        <w:keepNext w:val="0"/>
        <w:keepLines w:val="0"/>
        <w:widowControl w:val="0"/>
        <w:numPr>
          <w:ilvl w:val="0"/>
          <w:numId w:val="0"/>
        </w:numPr>
        <w:shd w:val="clear" w:color="auto" w:fill="auto"/>
        <w:tabs>
          <w:tab w:val="left" w:pos="659"/>
        </w:tabs>
        <w:bidi w:val="0"/>
        <w:spacing w:before="0" w:after="160" w:line="240" w:lineRule="auto"/>
        <w:ind w:left="340" w:leftChars="0" w:right="0" w:rightChars="0" w:firstLine="960" w:firstLineChars="300"/>
        <w:jc w:val="both"/>
        <w:rPr>
          <w:rFonts w:hint="eastAsia" w:ascii="仿宋" w:hAnsi="仿宋" w:eastAsia="仿宋" w:cs="仿宋"/>
          <w:sz w:val="32"/>
          <w:szCs w:val="32"/>
          <w:lang w:eastAsia="zh-CN"/>
        </w:rPr>
      </w:pPr>
      <w:bookmarkStart w:id="10" w:name="bookmark13"/>
      <w:bookmarkEnd w:id="10"/>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计费额指被评审报告的评估额</w:t>
      </w:r>
      <w:r>
        <w:rPr>
          <w:rFonts w:hint="eastAsia" w:ascii="仿宋" w:hAnsi="仿宋" w:eastAsia="仿宋" w:cs="仿宋"/>
          <w:color w:val="000000"/>
          <w:spacing w:val="0"/>
          <w:w w:val="100"/>
          <w:position w:val="0"/>
          <w:sz w:val="32"/>
          <w:szCs w:val="32"/>
          <w:lang w:eastAsia="zh-CN"/>
        </w:rPr>
        <w:t>；</w:t>
      </w:r>
    </w:p>
    <w:p>
      <w:pPr>
        <w:keepNext w:val="0"/>
        <w:keepLines w:val="0"/>
        <w:widowControl/>
        <w:numPr>
          <w:ilvl w:val="0"/>
          <w:numId w:val="0"/>
        </w:numPr>
        <w:suppressLineNumbers w:val="0"/>
        <w:ind w:firstLine="1280" w:firstLineChars="400"/>
        <w:jc w:val="left"/>
        <w:rPr>
          <w:rFonts w:hint="eastAsia" w:ascii="仿宋" w:hAnsi="仿宋" w:eastAsia="仿宋" w:cs="仿宋"/>
          <w:color w:val="000000"/>
          <w:kern w:val="0"/>
          <w:sz w:val="32"/>
          <w:szCs w:val="32"/>
          <w:lang w:val="en-US" w:eastAsia="zh-CN" w:bidi="ar"/>
        </w:rPr>
      </w:pPr>
      <w:bookmarkStart w:id="11" w:name="bookmark15"/>
      <w:bookmarkEnd w:id="11"/>
      <w:bookmarkStart w:id="12" w:name="bookmark14"/>
      <w:bookmarkEnd w:id="12"/>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以上收费标准可根据实际情况调整</w:t>
      </w:r>
      <w:r>
        <w:rPr>
          <w:rFonts w:hint="eastAsia" w:ascii="仿宋" w:hAnsi="仿宋" w:eastAsia="仿宋" w:cs="仿宋"/>
          <w:color w:val="000000"/>
          <w:spacing w:val="0"/>
          <w:w w:val="100"/>
          <w:position w:val="0"/>
          <w:sz w:val="32"/>
          <w:szCs w:val="32"/>
          <w:lang w:eastAsia="zh-CN"/>
        </w:rPr>
        <w:t>。</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kern w:val="0"/>
          <w:sz w:val="32"/>
          <w:szCs w:val="32"/>
          <w:lang w:val="en-US" w:eastAsia="zh-CN" w:bidi="ar"/>
        </w:rPr>
        <w:t>   　</w:t>
      </w:r>
      <w:r>
        <w:rPr>
          <w:rFonts w:hint="eastAsia" w:ascii="仿宋" w:hAnsi="仿宋" w:eastAsia="仿宋" w:cs="仿宋"/>
          <w:b/>
          <w:bCs/>
          <w:kern w:val="0"/>
          <w:sz w:val="32"/>
          <w:szCs w:val="32"/>
          <w:lang w:val="en-US" w:eastAsia="zh-CN" w:bidi="ar"/>
        </w:rPr>
        <w:t>第二十六条</w:t>
      </w:r>
      <w:r>
        <w:rPr>
          <w:rFonts w:hint="eastAsia" w:ascii="仿宋" w:hAnsi="仿宋" w:eastAsia="仿宋" w:cs="仿宋"/>
          <w:kern w:val="0"/>
          <w:sz w:val="32"/>
          <w:szCs w:val="32"/>
          <w:lang w:val="en-US" w:eastAsia="zh-CN" w:bidi="ar"/>
        </w:rPr>
        <w:t>　</w:t>
      </w:r>
      <w:r>
        <w:rPr>
          <w:rFonts w:hint="eastAsia" w:ascii="仿宋" w:hAnsi="仿宋" w:eastAsia="仿宋" w:cs="仿宋"/>
          <w:color w:val="000000"/>
          <w:kern w:val="0"/>
          <w:sz w:val="32"/>
          <w:szCs w:val="32"/>
          <w:lang w:val="en-US" w:eastAsia="zh-CN" w:bidi="ar"/>
        </w:rPr>
        <w:t>专家组根据工作需要进行现场勘查的，赴现场勘查的费用由异议人垫付。现场勘查费用支出范围及标准按相关文件规定执行。</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b/>
          <w:bCs/>
          <w:color w:val="000000"/>
          <w:kern w:val="0"/>
          <w:sz w:val="32"/>
          <w:szCs w:val="32"/>
          <w:lang w:val="en-US" w:eastAsia="zh-CN" w:bidi="ar"/>
        </w:rPr>
        <w:t xml:space="preserve"> 第二十七条 </w:t>
      </w:r>
      <w:r>
        <w:rPr>
          <w:rFonts w:hint="eastAsia" w:ascii="仿宋" w:hAnsi="仿宋" w:eastAsia="仿宋" w:cs="仿宋"/>
          <w:b w:val="0"/>
          <w:bCs w:val="0"/>
          <w:color w:val="000000"/>
          <w:kern w:val="0"/>
          <w:sz w:val="32"/>
          <w:szCs w:val="32"/>
          <w:lang w:val="en-US" w:eastAsia="zh-CN" w:bidi="ar"/>
        </w:rPr>
        <w:t>委托方撤回</w:t>
      </w:r>
      <w:r>
        <w:rPr>
          <w:rFonts w:hint="eastAsia" w:ascii="仿宋" w:hAnsi="仿宋" w:eastAsia="仿宋" w:cs="仿宋"/>
          <w:color w:val="000000"/>
          <w:kern w:val="0"/>
          <w:sz w:val="32"/>
          <w:szCs w:val="32"/>
          <w:lang w:val="en-US" w:eastAsia="zh-CN" w:bidi="ar"/>
        </w:rPr>
        <w:t>专业技术评审委托项目终止，按项目进行的程度扣除已经支出的部分费用退回预收的评审费；因评审项目专家组的原因终止评审的，退回全部预交的评审费。</w:t>
      </w:r>
    </w:p>
    <w:p>
      <w:pPr>
        <w:keepNext w:val="0"/>
        <w:keepLines w:val="0"/>
        <w:widowControl/>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第二十八条</w:t>
      </w:r>
      <w:r>
        <w:rPr>
          <w:rFonts w:hint="eastAsia" w:ascii="仿宋" w:hAnsi="仿宋" w:eastAsia="仿宋" w:cs="仿宋"/>
          <w:color w:val="000000"/>
          <w:kern w:val="0"/>
          <w:sz w:val="32"/>
          <w:szCs w:val="32"/>
          <w:lang w:val="en-US" w:eastAsia="zh-CN" w:bidi="ar"/>
        </w:rPr>
        <w:t xml:space="preserve"> 评审费用支付专业技术评审业务完成后，省价格鉴证评估协会向评审专家发放专家评审劳务费（以下简称专家劳务），个人所得税由个人自行负担。专家劳务费发放办法另行制定。专业技术评审费用结余动态滚存，统一管理，专款专用。</w:t>
      </w:r>
    </w:p>
    <w:p>
      <w:pPr>
        <w:keepNext w:val="0"/>
        <w:keepLines w:val="0"/>
        <w:widowControl/>
        <w:suppressLineNumbers w:val="0"/>
        <w:ind w:firstLine="643" w:firstLineChars="200"/>
        <w:jc w:val="left"/>
        <w:rPr>
          <w:rFonts w:hint="eastAsia" w:ascii="仿宋" w:hAnsi="仿宋" w:eastAsia="仿宋" w:cs="仿宋"/>
          <w:sz w:val="32"/>
          <w:szCs w:val="32"/>
        </w:rPr>
      </w:pPr>
      <w:r>
        <w:rPr>
          <w:rStyle w:val="6"/>
          <w:rFonts w:hint="eastAsia" w:ascii="仿宋" w:hAnsi="仿宋" w:eastAsia="仿宋" w:cs="仿宋"/>
          <w:b/>
          <w:bCs w:val="0"/>
          <w:color w:val="000000"/>
          <w:kern w:val="0"/>
          <w:sz w:val="32"/>
          <w:szCs w:val="32"/>
          <w:lang w:val="en-US" w:eastAsia="zh-CN" w:bidi="ar"/>
        </w:rPr>
        <w:t>第二十九条</w:t>
      </w:r>
      <w:r>
        <w:rPr>
          <w:rStyle w:val="6"/>
          <w:rFonts w:hint="eastAsia" w:ascii="仿宋" w:hAnsi="仿宋" w:eastAsia="仿宋" w:cs="仿宋"/>
          <w:b w:val="0"/>
          <w:bCs/>
          <w:color w:val="000000"/>
          <w:kern w:val="0"/>
          <w:sz w:val="32"/>
          <w:szCs w:val="32"/>
          <w:lang w:val="en-US" w:eastAsia="zh-CN" w:bidi="ar"/>
        </w:rPr>
        <w:t xml:space="preserve"> 附则 。本</w:t>
      </w:r>
      <w:r>
        <w:rPr>
          <w:rFonts w:hint="eastAsia" w:ascii="仿宋" w:hAnsi="仿宋" w:eastAsia="仿宋" w:cs="仿宋"/>
          <w:b w:val="0"/>
          <w:bCs/>
          <w:color w:val="000000"/>
          <w:kern w:val="0"/>
          <w:sz w:val="32"/>
          <w:szCs w:val="32"/>
          <w:lang w:val="en-US" w:eastAsia="zh-CN" w:bidi="ar"/>
        </w:rPr>
        <w:t>办法自公布之日起施行。</w:t>
      </w:r>
    </w:p>
    <w:sectPr>
      <w:footerReference r:id="rId3" w:type="default"/>
      <w:pgSz w:w="11906" w:h="16838"/>
      <w:pgMar w:top="1440" w:right="1179" w:bottom="1157"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3994"/>
      <w:rPr>
        <w:rFonts w:ascii="Arial" w:hAnsi="Arial" w:eastAsia="Arial" w:cs="Arial"/>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078A3"/>
    <w:multiLevelType w:val="singleLevel"/>
    <w:tmpl w:val="956078A3"/>
    <w:lvl w:ilvl="0" w:tentative="0">
      <w:start w:val="1"/>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NzY2NTA5MjVhNTIyMzc4ODA0N2E5YjRkZTU1Y2YifQ=="/>
  </w:docVars>
  <w:rsids>
    <w:rsidRoot w:val="64181745"/>
    <w:rsid w:val="00E42C01"/>
    <w:rsid w:val="02372D43"/>
    <w:rsid w:val="034675D0"/>
    <w:rsid w:val="05EE0E9D"/>
    <w:rsid w:val="060E19D4"/>
    <w:rsid w:val="07792F52"/>
    <w:rsid w:val="09C851E3"/>
    <w:rsid w:val="0C390F36"/>
    <w:rsid w:val="0C8E142B"/>
    <w:rsid w:val="0D8E3C86"/>
    <w:rsid w:val="0DF13CA6"/>
    <w:rsid w:val="122410E8"/>
    <w:rsid w:val="12391A50"/>
    <w:rsid w:val="12DB7D35"/>
    <w:rsid w:val="15604521"/>
    <w:rsid w:val="1F0E4FEE"/>
    <w:rsid w:val="1FCF0E04"/>
    <w:rsid w:val="1FD04999"/>
    <w:rsid w:val="20605D1D"/>
    <w:rsid w:val="21452567"/>
    <w:rsid w:val="22AB18CF"/>
    <w:rsid w:val="23C93B55"/>
    <w:rsid w:val="23E46C65"/>
    <w:rsid w:val="2C05145A"/>
    <w:rsid w:val="31B0602D"/>
    <w:rsid w:val="34D16D92"/>
    <w:rsid w:val="351A5F62"/>
    <w:rsid w:val="364C7A53"/>
    <w:rsid w:val="37C60001"/>
    <w:rsid w:val="390019F4"/>
    <w:rsid w:val="3911703D"/>
    <w:rsid w:val="3A8D3A1E"/>
    <w:rsid w:val="3FE33B6B"/>
    <w:rsid w:val="406302B3"/>
    <w:rsid w:val="415914C1"/>
    <w:rsid w:val="41B929EC"/>
    <w:rsid w:val="43227E46"/>
    <w:rsid w:val="43937E7B"/>
    <w:rsid w:val="4595585B"/>
    <w:rsid w:val="48B54923"/>
    <w:rsid w:val="49363958"/>
    <w:rsid w:val="4B8E02D9"/>
    <w:rsid w:val="501F67AB"/>
    <w:rsid w:val="518B0FFB"/>
    <w:rsid w:val="52AC137F"/>
    <w:rsid w:val="52AC3DEA"/>
    <w:rsid w:val="53475919"/>
    <w:rsid w:val="55F34962"/>
    <w:rsid w:val="57FC45A5"/>
    <w:rsid w:val="58281E9E"/>
    <w:rsid w:val="583A6F28"/>
    <w:rsid w:val="584B4262"/>
    <w:rsid w:val="59140FD7"/>
    <w:rsid w:val="5B6D0D13"/>
    <w:rsid w:val="5FF26677"/>
    <w:rsid w:val="622F3570"/>
    <w:rsid w:val="64181745"/>
    <w:rsid w:val="65847BA1"/>
    <w:rsid w:val="66DD2AE3"/>
    <w:rsid w:val="681937F3"/>
    <w:rsid w:val="6A71784A"/>
    <w:rsid w:val="6AEF34F2"/>
    <w:rsid w:val="6C8B2E21"/>
    <w:rsid w:val="6D133282"/>
    <w:rsid w:val="6DD42426"/>
    <w:rsid w:val="6F6F2392"/>
    <w:rsid w:val="73984834"/>
    <w:rsid w:val="76B305D8"/>
    <w:rsid w:val="76E2191D"/>
    <w:rsid w:val="770C7A25"/>
    <w:rsid w:val="7A25224C"/>
    <w:rsid w:val="7B7B7AAD"/>
    <w:rsid w:val="7CD366A1"/>
    <w:rsid w:val="7DD345AE"/>
    <w:rsid w:val="7DEC38C1"/>
    <w:rsid w:val="7F020597"/>
    <w:rsid w:val="7F4A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Other|1"/>
    <w:basedOn w:val="1"/>
    <w:qFormat/>
    <w:uiPriority w:val="0"/>
    <w:pPr>
      <w:widowControl w:val="0"/>
      <w:shd w:val="clear" w:color="auto" w:fill="auto"/>
      <w:spacing w:after="320" w:line="374" w:lineRule="auto"/>
      <w:ind w:firstLine="380"/>
    </w:pPr>
    <w:rPr>
      <w:rFonts w:ascii="宋体" w:hAnsi="宋体" w:eastAsia="宋体" w:cs="宋体"/>
      <w:sz w:val="18"/>
      <w:szCs w:val="18"/>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4655</Words>
  <Characters>4771</Characters>
  <Lines>0</Lines>
  <Paragraphs>0</Paragraphs>
  <TotalTime>43</TotalTime>
  <ScaleCrop>false</ScaleCrop>
  <LinksUpToDate>false</LinksUpToDate>
  <CharactersWithSpaces>4870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2021-07-18T13:50:00Z</dcterms:created>
  <dc:creator>梁绍启</dc:creator>
  <cp:lastModifiedBy>Administrator</cp:lastModifiedBy>
  <cp:lastPrinted>2022-06-04T03:37:00Z</cp:lastPrinted>
  <dcterms:modified xsi:type="dcterms:W3CDTF">2022-06-04T09:27:01Z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3587EE900A6A4FD9B4894427CBF5DB00</vt:lpwstr>
  </property>
</Properties>
</file>